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jc w:val="center"/>
        <w:rPr>
          <w:rFonts w:ascii="微软雅黑" w:hAnsi="微软雅黑" w:eastAsia="微软雅黑" w:cs="微软雅黑"/>
          <w:b/>
          <w:b/>
          <w:bCs/>
          <w:sz w:val="28"/>
          <w:szCs w:val="28"/>
          <w:lang w:val="en-US" w:eastAsia="zh-CN"/>
        </w:rPr>
      </w:pPr>
      <w:r>
        <w:rPr/>
        <w:drawing>
          <wp:inline distT="0" distB="0" distL="0" distR="0">
            <wp:extent cx="6174105" cy="2713990"/>
            <wp:effectExtent l="0" t="0" r="0" b="0"/>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noChangeArrowheads="1"/>
                    </pic:cNvPicPr>
                  </pic:nvPicPr>
                  <pic:blipFill>
                    <a:blip r:embed="rId2"/>
                    <a:srcRect l="0" t="0" r="0" b="946"/>
                    <a:stretch>
                      <a:fillRect/>
                    </a:stretch>
                  </pic:blipFill>
                  <pic:spPr bwMode="auto">
                    <a:xfrm>
                      <a:off x="0" y="0"/>
                      <a:ext cx="6174105" cy="2713990"/>
                    </a:xfrm>
                    <a:prstGeom prst="rect">
                      <a:avLst/>
                    </a:prstGeom>
                  </pic:spPr>
                </pic:pic>
              </a:graphicData>
            </a:graphic>
          </wp:inline>
        </w:drawing>
      </w:r>
    </w:p>
    <w:p>
      <w:pPr>
        <w:pStyle w:val="Style14"/>
        <w:numPr>
          <w:ilvl w:val="0"/>
          <w:numId w:val="2"/>
        </w:numPr>
        <w:spacing w:lineRule="auto" w:line="240"/>
        <w:ind/>
        <w:jc w:val="both"/>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公司介绍</w:t>
      </w:r>
    </w:p>
    <w:p>
      <w:pPr>
        <w:pStyle w:val="Style14"/>
        <w:numPr>
          <w:ilvl w:val="0"/>
          <w:numId w:val="0"/>
        </w:numPr>
        <w:spacing w:lineRule="auto" w:line="240"/>
        <w:ind w:firstLineChars="200" w:firstLine="0"/>
        <w:jc w:val="both"/>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宁波伊士通技术股份有限公司系”汇川技术“宁波分公司，位于中国制造业强市浙江省宁波市，是一家以工业控制技术为核心的国家高新技术企业。自</w:t>
      </w:r>
      <w:r>
        <w:rPr>
          <w:rFonts w:eastAsia="微软雅黑" w:cs="微软雅黑" w:ascii="微软雅黑" w:hAnsi="微软雅黑"/>
          <w:sz w:val="21"/>
          <w:szCs w:val="21"/>
          <w:lang w:val="en-US" w:eastAsia="zh-CN"/>
        </w:rPr>
        <w:t>2002</w:t>
      </w:r>
      <w:r>
        <w:rPr>
          <w:rFonts w:ascii="微软雅黑" w:hAnsi="微软雅黑" w:cs="微软雅黑" w:eastAsia="微软雅黑"/>
          <w:sz w:val="21"/>
          <w:szCs w:val="21"/>
          <w:lang w:val="en-US" w:eastAsia="zh-CN"/>
        </w:rPr>
        <w:t>年成立以来，伊士通始终致力于形成专业化工业控制解决方案，提升客户产品价值，与客户共同成长。伊士通主营产品包括高性能工业电脑、精密液压伺服控制系统、全电伺服控制系统、物联网系统等，另外还在数字化运动训练设备和医疗器械等多个领域均有涉及。通过</w:t>
      </w:r>
      <w:r>
        <w:rPr>
          <w:rFonts w:eastAsia="微软雅黑" w:cs="微软雅黑" w:ascii="微软雅黑" w:hAnsi="微软雅黑"/>
          <w:sz w:val="21"/>
          <w:szCs w:val="21"/>
          <w:lang w:val="en-US" w:eastAsia="zh-CN"/>
        </w:rPr>
        <w:t>20</w:t>
      </w:r>
      <w:r>
        <w:rPr>
          <w:rFonts w:ascii="微软雅黑" w:hAnsi="微软雅黑" w:cs="微软雅黑" w:eastAsia="微软雅黑"/>
          <w:sz w:val="21"/>
          <w:szCs w:val="21"/>
          <w:lang w:val="en-US" w:eastAsia="zh-CN"/>
        </w:rPr>
        <w:t>年的行业深耕，伊士通凭借自主研发能力和优质高效服务在注塑机控制领域拥有了较大影响力，经典、卓越、梦想三个系列的注塑机控制电脑产品国内市场占有率在内资企业中位列第一；液压伺服控制系统产品与母公司汇川技术（股票代码：</w:t>
      </w:r>
      <w:r>
        <w:rPr>
          <w:rFonts w:eastAsia="微软雅黑" w:cs="微软雅黑" w:ascii="微软雅黑" w:hAnsi="微软雅黑"/>
          <w:sz w:val="21"/>
          <w:szCs w:val="21"/>
          <w:lang w:val="en-US" w:eastAsia="zh-CN"/>
        </w:rPr>
        <w:t>300124</w:t>
      </w:r>
      <w:r>
        <w:rPr>
          <w:rFonts w:ascii="微软雅黑" w:hAnsi="微软雅黑" w:cs="微软雅黑" w:eastAsia="微软雅黑"/>
          <w:sz w:val="21"/>
          <w:szCs w:val="21"/>
          <w:lang w:val="en-US" w:eastAsia="zh-CN"/>
        </w:rPr>
        <w:t>）合计全球行业内市场占有率位列第一。其中，卓越系列精密液压注塑机控制系统率先突破了泵控瓶颈，其性能比肩国际精密阀控性能，实现了注塑机控制技术的一次重要变革。</w:t>
      </w:r>
    </w:p>
    <w:p>
      <w:pPr>
        <w:pStyle w:val="Style14"/>
        <w:spacing w:lineRule="auto" w:line="240"/>
        <w:ind w:firstLineChars="200" w:firstLine="0"/>
        <w:jc w:val="both"/>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伊士通拥有一支敏捷高效、协作奋斗的团队，共有员工</w:t>
      </w:r>
      <w:r>
        <w:rPr>
          <w:rFonts w:eastAsia="微软雅黑" w:cs="微软雅黑" w:ascii="微软雅黑" w:hAnsi="微软雅黑"/>
          <w:sz w:val="21"/>
          <w:szCs w:val="21"/>
          <w:lang w:val="en-US" w:eastAsia="zh-CN"/>
        </w:rPr>
        <w:t>300</w:t>
      </w:r>
      <w:r>
        <w:rPr>
          <w:rFonts w:ascii="微软雅黑" w:hAnsi="微软雅黑" w:cs="微软雅黑" w:eastAsia="微软雅黑"/>
          <w:sz w:val="21"/>
          <w:szCs w:val="21"/>
          <w:lang w:val="en-US" w:eastAsia="zh-CN"/>
        </w:rPr>
        <w:t>余人，其中各类专业技术人员</w:t>
      </w:r>
      <w:r>
        <w:rPr>
          <w:rFonts w:eastAsia="微软雅黑" w:cs="微软雅黑" w:ascii="微软雅黑" w:hAnsi="微软雅黑"/>
          <w:sz w:val="21"/>
          <w:szCs w:val="21"/>
          <w:lang w:val="en-US" w:eastAsia="zh-CN"/>
        </w:rPr>
        <w:t>160</w:t>
      </w:r>
      <w:r>
        <w:rPr>
          <w:rFonts w:ascii="微软雅黑" w:hAnsi="微软雅黑" w:cs="微软雅黑" w:eastAsia="微软雅黑"/>
          <w:sz w:val="21"/>
          <w:szCs w:val="21"/>
          <w:lang w:val="en-US" w:eastAsia="zh-CN"/>
        </w:rPr>
        <w:t>人，专业技术人员中</w:t>
      </w:r>
      <w:r>
        <w:rPr>
          <w:rFonts w:eastAsia="微软雅黑" w:cs="微软雅黑" w:ascii="微软雅黑" w:hAnsi="微软雅黑"/>
          <w:sz w:val="21"/>
          <w:szCs w:val="21"/>
          <w:lang w:val="en-US" w:eastAsia="zh-CN"/>
        </w:rPr>
        <w:t>90</w:t>
      </w:r>
      <w:r>
        <w:rPr>
          <w:rFonts w:ascii="微软雅黑" w:hAnsi="微软雅黑" w:cs="微软雅黑" w:eastAsia="微软雅黑"/>
          <w:sz w:val="21"/>
          <w:szCs w:val="21"/>
          <w:lang w:val="en-US" w:eastAsia="zh-CN"/>
        </w:rPr>
        <w:t>后员工占比高于</w:t>
      </w:r>
      <w:r>
        <w:rPr>
          <w:rFonts w:eastAsia="微软雅黑" w:cs="微软雅黑" w:ascii="微软雅黑" w:hAnsi="微软雅黑"/>
          <w:sz w:val="21"/>
          <w:szCs w:val="21"/>
          <w:lang w:val="en-US" w:eastAsia="zh-CN"/>
        </w:rPr>
        <w:t>80%</w:t>
      </w:r>
      <w:r>
        <w:rPr>
          <w:rFonts w:ascii="微软雅黑" w:hAnsi="微软雅黑" w:cs="微软雅黑" w:eastAsia="微软雅黑"/>
          <w:sz w:val="21"/>
          <w:szCs w:val="21"/>
          <w:lang w:val="en-US" w:eastAsia="zh-CN"/>
        </w:rPr>
        <w:t>。除宁波本部外，在广东、深圳、重庆、浙江、江苏、山东、河北等地区均设有分支机构，面向全国开展业务服务，并拥有多个海外服务点。</w:t>
      </w:r>
    </w:p>
    <w:p>
      <w:pPr>
        <w:pStyle w:val="Style14"/>
        <w:spacing w:lineRule="auto" w:line="240"/>
        <w:ind w:firstLineChars="200" w:firstLine="0"/>
        <w:jc w:val="both"/>
        <w:rPr>
          <w:rFonts w:ascii="微软雅黑" w:hAnsi="微软雅黑" w:eastAsia="微软雅黑" w:cs="微软雅黑"/>
          <w:sz w:val="21"/>
          <w:szCs w:val="21"/>
          <w:lang w:val="en-US" w:eastAsia="zh-CN"/>
        </w:rPr>
      </w:pPr>
      <w:r>
        <w:rPr>
          <w:rFonts w:eastAsia="微软雅黑" w:cs="微软雅黑" w:ascii="微软雅黑" w:hAnsi="微软雅黑"/>
          <w:sz w:val="21"/>
          <w:szCs w:val="21"/>
          <w:lang w:val="en-US" w:eastAsia="zh-CN"/>
        </w:rPr>
        <w:t>2011</w:t>
      </w:r>
      <w:r>
        <w:rPr>
          <w:rFonts w:ascii="微软雅黑" w:hAnsi="微软雅黑" w:cs="微软雅黑" w:eastAsia="微软雅黑"/>
          <w:sz w:val="21"/>
          <w:szCs w:val="21"/>
          <w:lang w:val="en-US" w:eastAsia="zh-CN"/>
        </w:rPr>
        <w:t>年伊士通通过</w:t>
      </w:r>
      <w:r>
        <w:rPr>
          <w:rFonts w:eastAsia="微软雅黑" w:cs="微软雅黑" w:ascii="微软雅黑" w:hAnsi="微软雅黑"/>
          <w:sz w:val="21"/>
          <w:szCs w:val="21"/>
          <w:lang w:val="en-US" w:eastAsia="zh-CN"/>
        </w:rPr>
        <w:t>ISO9001</w:t>
      </w:r>
      <w:r>
        <w:rPr>
          <w:rFonts w:ascii="微软雅黑" w:hAnsi="微软雅黑" w:cs="微软雅黑" w:eastAsia="微软雅黑"/>
          <w:sz w:val="21"/>
          <w:szCs w:val="21"/>
          <w:lang w:val="en-US" w:eastAsia="zh-CN"/>
        </w:rPr>
        <w:t>质量管理体系认证，</w:t>
      </w:r>
      <w:r>
        <w:rPr>
          <w:rFonts w:eastAsia="微软雅黑" w:cs="微软雅黑" w:ascii="微软雅黑" w:hAnsi="微软雅黑"/>
          <w:sz w:val="21"/>
          <w:szCs w:val="21"/>
          <w:lang w:val="en-US" w:eastAsia="zh-CN"/>
        </w:rPr>
        <w:t>2012</w:t>
      </w:r>
      <w:r>
        <w:rPr>
          <w:rFonts w:ascii="微软雅黑" w:hAnsi="微软雅黑" w:cs="微软雅黑" w:eastAsia="微软雅黑"/>
          <w:sz w:val="21"/>
          <w:szCs w:val="21"/>
          <w:lang w:val="en-US" w:eastAsia="zh-CN"/>
        </w:rPr>
        <w:t>年被认定为国家高新技术企业，</w:t>
      </w:r>
      <w:r>
        <w:rPr>
          <w:rFonts w:eastAsia="微软雅黑" w:cs="微软雅黑" w:ascii="微软雅黑" w:hAnsi="微软雅黑"/>
          <w:sz w:val="21"/>
          <w:szCs w:val="21"/>
          <w:lang w:val="en-US" w:eastAsia="zh-CN"/>
        </w:rPr>
        <w:t>2014</w:t>
      </w:r>
      <w:r>
        <w:rPr>
          <w:rFonts w:ascii="微软雅黑" w:hAnsi="微软雅黑" w:cs="微软雅黑" w:eastAsia="微软雅黑"/>
          <w:sz w:val="21"/>
          <w:szCs w:val="21"/>
          <w:lang w:val="en-US" w:eastAsia="zh-CN"/>
        </w:rPr>
        <w:t>年被宁波市科技局认定为市级企业工程技术中心，</w:t>
      </w:r>
      <w:r>
        <w:rPr>
          <w:rFonts w:eastAsia="微软雅黑" w:cs="微软雅黑" w:ascii="微软雅黑" w:hAnsi="微软雅黑"/>
          <w:sz w:val="21"/>
          <w:szCs w:val="21"/>
          <w:lang w:val="en-US" w:eastAsia="zh-CN"/>
        </w:rPr>
        <w:t>2016</w:t>
      </w:r>
      <w:r>
        <w:rPr>
          <w:rFonts w:ascii="微软雅黑" w:hAnsi="微软雅黑" w:cs="微软雅黑" w:eastAsia="微软雅黑"/>
          <w:sz w:val="21"/>
          <w:szCs w:val="21"/>
          <w:lang w:val="en-US" w:eastAsia="zh-CN"/>
        </w:rPr>
        <w:t>年被聘为中国工业机械电器系统标准化技术委员会塑料机械电器系统标准工作组（</w:t>
      </w:r>
      <w:r>
        <w:rPr>
          <w:rFonts w:eastAsia="微软雅黑" w:cs="微软雅黑" w:ascii="微软雅黑" w:hAnsi="微软雅黑"/>
          <w:sz w:val="21"/>
          <w:szCs w:val="21"/>
          <w:lang w:val="en-US" w:eastAsia="zh-CN"/>
        </w:rPr>
        <w:t>SAC/TC231/WG5</w:t>
      </w:r>
      <w:r>
        <w:rPr>
          <w:rFonts w:ascii="微软雅黑" w:hAnsi="微软雅黑" w:cs="微软雅黑" w:eastAsia="微软雅黑"/>
          <w:sz w:val="21"/>
          <w:szCs w:val="21"/>
          <w:lang w:val="en-US" w:eastAsia="zh-CN"/>
        </w:rPr>
        <w:t>）副组长单位。截止</w:t>
      </w:r>
      <w:r>
        <w:rPr>
          <w:rFonts w:eastAsia="微软雅黑" w:cs="微软雅黑" w:ascii="微软雅黑" w:hAnsi="微软雅黑"/>
          <w:sz w:val="21"/>
          <w:szCs w:val="21"/>
          <w:lang w:val="en-US" w:eastAsia="zh-CN"/>
        </w:rPr>
        <w:t>2020</w:t>
      </w:r>
      <w:r>
        <w:rPr>
          <w:rFonts w:ascii="微软雅黑" w:hAnsi="微软雅黑" w:cs="微软雅黑" w:eastAsia="微软雅黑"/>
          <w:sz w:val="21"/>
          <w:szCs w:val="21"/>
          <w:lang w:val="en-US" w:eastAsia="zh-CN"/>
        </w:rPr>
        <w:t>年底，伊士通拥有已获授权的发明专利</w:t>
      </w:r>
      <w:r>
        <w:rPr>
          <w:rFonts w:eastAsia="微软雅黑" w:cs="微软雅黑" w:ascii="微软雅黑" w:hAnsi="微软雅黑"/>
          <w:sz w:val="21"/>
          <w:szCs w:val="21"/>
          <w:lang w:val="en-US" w:eastAsia="zh-CN"/>
        </w:rPr>
        <w:t>8</w:t>
      </w:r>
      <w:r>
        <w:rPr>
          <w:rFonts w:ascii="微软雅黑" w:hAnsi="微软雅黑" w:cs="微软雅黑" w:eastAsia="微软雅黑"/>
          <w:sz w:val="21"/>
          <w:szCs w:val="21"/>
          <w:lang w:val="en-US" w:eastAsia="zh-CN"/>
        </w:rPr>
        <w:t>项，实用新型专利</w:t>
      </w:r>
      <w:r>
        <w:rPr>
          <w:rFonts w:eastAsia="微软雅黑" w:cs="微软雅黑" w:ascii="微软雅黑" w:hAnsi="微软雅黑"/>
          <w:sz w:val="21"/>
          <w:szCs w:val="21"/>
          <w:lang w:val="en-US" w:eastAsia="zh-CN"/>
        </w:rPr>
        <w:t>16</w:t>
      </w:r>
      <w:r>
        <w:rPr>
          <w:rFonts w:ascii="微软雅黑" w:hAnsi="微软雅黑" w:cs="微软雅黑" w:eastAsia="微软雅黑"/>
          <w:sz w:val="21"/>
          <w:szCs w:val="21"/>
          <w:lang w:val="en-US" w:eastAsia="zh-CN"/>
        </w:rPr>
        <w:t>项，外观专利</w:t>
      </w:r>
      <w:r>
        <w:rPr>
          <w:rFonts w:eastAsia="微软雅黑" w:cs="微软雅黑" w:ascii="微软雅黑" w:hAnsi="微软雅黑"/>
          <w:sz w:val="21"/>
          <w:szCs w:val="21"/>
          <w:lang w:val="en-US" w:eastAsia="zh-CN"/>
        </w:rPr>
        <w:t>6</w:t>
      </w:r>
      <w:r>
        <w:rPr>
          <w:rFonts w:ascii="微软雅黑" w:hAnsi="微软雅黑" w:cs="微软雅黑" w:eastAsia="微软雅黑"/>
          <w:sz w:val="21"/>
          <w:szCs w:val="21"/>
          <w:lang w:val="en-US" w:eastAsia="zh-CN"/>
        </w:rPr>
        <w:t>项，软件著作权</w:t>
      </w:r>
      <w:r>
        <w:rPr>
          <w:rFonts w:eastAsia="微软雅黑" w:cs="微软雅黑" w:ascii="微软雅黑" w:hAnsi="微软雅黑"/>
          <w:sz w:val="21"/>
          <w:szCs w:val="21"/>
          <w:lang w:val="en-US" w:eastAsia="zh-CN"/>
        </w:rPr>
        <w:t>9</w:t>
      </w:r>
      <w:r>
        <w:rPr>
          <w:rFonts w:ascii="微软雅黑" w:hAnsi="微软雅黑" w:cs="微软雅黑" w:eastAsia="微软雅黑"/>
          <w:sz w:val="21"/>
          <w:szCs w:val="21"/>
          <w:lang w:val="en-US" w:eastAsia="zh-CN"/>
        </w:rPr>
        <w:t>项。</w:t>
      </w:r>
    </w:p>
    <w:p>
      <w:pPr>
        <w:pStyle w:val="Style14"/>
        <w:spacing w:lineRule="auto" w:line="240"/>
        <w:ind w:firstLineChars="200" w:firstLine="0"/>
        <w:jc w:val="both"/>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伊士通将通过持续创新践行“以专业技术推进产业变革”的使命，为中国工业控制的发展贡献自己的力量。</w:t>
      </w:r>
    </w:p>
    <w:p>
      <w:pPr>
        <w:pStyle w:val="Style14"/>
        <w:numPr>
          <w:ilvl w:val="0"/>
          <w:numId w:val="2"/>
        </w:numPr>
        <w:spacing w:lineRule="auto" w:line="240"/>
        <w:ind/>
        <w:jc w:val="both"/>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岗位需求</w:t>
      </w:r>
    </w:p>
    <w:tbl>
      <w:tblPr>
        <w:tblStyle w:val="4"/>
        <w:tblpPr w:bottomFromText="0" w:horzAnchor="page" w:leftFromText="180" w:rightFromText="180" w:tblpX="1665" w:tblpY="159" w:topFromText="0" w:vertAnchor="text"/>
        <w:tblW w:w="10866" w:type="dxa"/>
        <w:jc w:val="left"/>
        <w:tblInd w:w="108" w:type="dxa"/>
        <w:tblLayout w:type="fixed"/>
        <w:tblCellMar>
          <w:top w:w="0" w:type="dxa"/>
          <w:left w:w="108" w:type="dxa"/>
          <w:bottom w:w="0" w:type="dxa"/>
          <w:right w:w="108" w:type="dxa"/>
        </w:tblCellMar>
      </w:tblPr>
      <w:tblGrid>
        <w:gridCol w:w="1605"/>
        <w:gridCol w:w="1171"/>
        <w:gridCol w:w="2363"/>
        <w:gridCol w:w="1112"/>
        <w:gridCol w:w="2206"/>
        <w:gridCol w:w="2408"/>
      </w:tblGrid>
      <w:tr>
        <w:trPr>
          <w:trHeight w:val="274" w:hRule="atLeast"/>
        </w:trPr>
        <w:tc>
          <w:tcPr>
            <w:tcW w:w="1605"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eastAsia="zh-CN"/>
              </w:rPr>
            </w:pPr>
            <w:r>
              <w:rPr>
                <w:rFonts w:ascii="微软雅黑" w:hAnsi="微软雅黑" w:cs="微软雅黑" w:eastAsia="微软雅黑"/>
                <w:sz w:val="18"/>
                <w:szCs w:val="18"/>
                <w:lang w:val="en-US" w:eastAsia="zh-CN"/>
              </w:rPr>
              <w:t>岗位</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学历要求</w:t>
            </w:r>
          </w:p>
        </w:tc>
        <w:tc>
          <w:tcPr>
            <w:tcW w:w="2363"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专业</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薪酬范围</w:t>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工作城市</w:t>
            </w:r>
          </w:p>
        </w:tc>
        <w:tc>
          <w:tcPr>
            <w:tcW w:w="2408"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数量</w:t>
            </w:r>
          </w:p>
        </w:tc>
      </w:tr>
      <w:tr>
        <w:trPr>
          <w:trHeight w:val="615" w:hRule="atLeast"/>
        </w:trPr>
        <w:tc>
          <w:tcPr>
            <w:tcW w:w="1605"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市场拓展工程师</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本科</w:t>
            </w:r>
          </w:p>
        </w:tc>
        <w:tc>
          <w:tcPr>
            <w:tcW w:w="2363"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医疗器械</w:t>
            </w:r>
            <w:r>
              <w:rPr>
                <w:rFonts w:eastAsia="微软雅黑" w:cs="微软雅黑" w:ascii="微软雅黑" w:hAnsi="微软雅黑"/>
                <w:sz w:val="18"/>
                <w:szCs w:val="18"/>
                <w:lang w:val="en-US" w:eastAsia="zh-CN"/>
              </w:rPr>
              <w:t>/</w:t>
            </w:r>
            <w:r>
              <w:rPr>
                <w:rFonts w:ascii="微软雅黑" w:hAnsi="微软雅黑" w:cs="微软雅黑" w:eastAsia="微软雅黑"/>
                <w:sz w:val="18"/>
                <w:szCs w:val="18"/>
                <w:lang w:val="en-US" w:eastAsia="zh-CN"/>
              </w:rPr>
              <w:t>电子</w:t>
            </w:r>
            <w:r>
              <w:rPr>
                <w:rFonts w:eastAsia="微软雅黑" w:cs="微软雅黑" w:ascii="微软雅黑" w:hAnsi="微软雅黑"/>
                <w:sz w:val="18"/>
                <w:szCs w:val="18"/>
                <w:lang w:val="en-US" w:eastAsia="zh-CN"/>
              </w:rPr>
              <w:t>/</w:t>
            </w:r>
            <w:r>
              <w:rPr>
                <w:rFonts w:ascii="微软雅黑" w:hAnsi="微软雅黑" w:cs="微软雅黑" w:eastAsia="微软雅黑"/>
                <w:sz w:val="18"/>
                <w:szCs w:val="18"/>
                <w:lang w:val="en-US" w:eastAsia="zh-CN"/>
              </w:rPr>
              <w:t>自动化</w:t>
            </w:r>
            <w:r>
              <w:rPr>
                <w:rFonts w:eastAsia="微软雅黑" w:cs="微软雅黑" w:ascii="微软雅黑" w:hAnsi="微软雅黑"/>
                <w:sz w:val="18"/>
                <w:szCs w:val="18"/>
                <w:lang w:val="en-US" w:eastAsia="zh-CN"/>
              </w:rPr>
              <w:t>/</w:t>
            </w:r>
            <w:r>
              <w:rPr>
                <w:rFonts w:ascii="微软雅黑" w:hAnsi="微软雅黑" w:cs="微软雅黑" w:eastAsia="微软雅黑"/>
                <w:sz w:val="18"/>
                <w:szCs w:val="18"/>
                <w:lang w:val="en-US" w:eastAsia="zh-CN"/>
              </w:rPr>
              <w:t>机械等理工类专业</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第一年基本工资</w:t>
            </w:r>
            <w:r>
              <w:rPr>
                <w:rFonts w:eastAsia="微软雅黑" w:cs="微软雅黑" w:ascii="微软雅黑" w:hAnsi="微软雅黑"/>
                <w:sz w:val="18"/>
                <w:szCs w:val="18"/>
                <w:lang w:val="en-US" w:eastAsia="zh-CN"/>
              </w:rPr>
              <w:t>7000</w:t>
            </w:r>
            <w:r>
              <w:rPr>
                <w:rFonts w:ascii="微软雅黑" w:hAnsi="微软雅黑" w:cs="微软雅黑" w:eastAsia="微软雅黑"/>
                <w:sz w:val="18"/>
                <w:szCs w:val="18"/>
                <w:lang w:val="en-US" w:eastAsia="zh-CN"/>
              </w:rPr>
              <w:t>元加项目奖金，年薪</w:t>
            </w:r>
            <w:r>
              <w:rPr>
                <w:rFonts w:eastAsia="微软雅黑" w:cs="微软雅黑" w:ascii="微软雅黑" w:hAnsi="微软雅黑"/>
                <w:sz w:val="18"/>
                <w:szCs w:val="18"/>
                <w:lang w:val="en-US" w:eastAsia="zh-CN"/>
              </w:rPr>
              <w:t>10</w:t>
            </w:r>
            <w:r>
              <w:rPr>
                <w:rFonts w:ascii="微软雅黑" w:hAnsi="微软雅黑" w:cs="微软雅黑" w:eastAsia="微软雅黑"/>
                <w:sz w:val="18"/>
                <w:szCs w:val="18"/>
                <w:lang w:val="en-US" w:eastAsia="zh-CN"/>
              </w:rPr>
              <w:t>万</w:t>
            </w:r>
            <w:r>
              <w:rPr>
                <w:rFonts w:eastAsia="微软雅黑" w:cs="微软雅黑" w:ascii="微软雅黑" w:hAnsi="微软雅黑"/>
                <w:sz w:val="18"/>
                <w:szCs w:val="18"/>
                <w:lang w:val="en-US" w:eastAsia="zh-CN"/>
              </w:rPr>
              <w:t>+</w:t>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ascii="微软雅黑" w:hAnsi="微软雅黑" w:cs="微软雅黑" w:eastAsia="微软雅黑"/>
                <w:sz w:val="18"/>
                <w:szCs w:val="18"/>
                <w:lang w:val="en-US" w:eastAsia="zh-CN"/>
              </w:rPr>
              <w:t>湖南、湖北、广东、广西、江西、安徽、四川、山东等，原则上就近安排。如在宁波工作，包食宿。</w:t>
            </w:r>
          </w:p>
        </w:tc>
        <w:tc>
          <w:tcPr>
            <w:tcW w:w="2408" w:type="dxa"/>
            <w:tcBorders>
              <w:top w:val="single" w:sz="4" w:space="0" w:color="000000"/>
              <w:left w:val="single" w:sz="4" w:space="0" w:color="000000"/>
              <w:bottom w:val="single" w:sz="4" w:space="0" w:color="000000"/>
              <w:right w:val="single" w:sz="4" w:space="0" w:color="000000"/>
            </w:tcBorders>
            <w:vAlign w:val="center"/>
          </w:tcPr>
          <w:p>
            <w:pPr>
              <w:pStyle w:val="Style14"/>
              <w:widowControl w:val="false"/>
              <w:spacing w:beforeLines="0" w:beforeAutospacing="0" w:afterLines="0" w:afterAutospacing="0"/>
              <w:jc w:val="center"/>
              <w:rPr>
                <w:rFonts w:ascii="微软雅黑" w:hAnsi="微软雅黑" w:eastAsia="微软雅黑" w:cs="微软雅黑"/>
                <w:sz w:val="18"/>
                <w:szCs w:val="18"/>
                <w:lang w:val="en-US" w:eastAsia="zh-CN"/>
              </w:rPr>
            </w:pPr>
            <w:r>
              <w:rPr>
                <w:rFonts w:eastAsia="微软雅黑" w:cs="微软雅黑" w:ascii="微软雅黑" w:hAnsi="微软雅黑"/>
                <w:sz w:val="18"/>
                <w:szCs w:val="18"/>
                <w:lang w:val="en-US" w:eastAsia="zh-CN"/>
              </w:rPr>
              <w:t>30</w:t>
            </w:r>
            <w:r>
              <w:rPr>
                <w:rFonts w:ascii="微软雅黑" w:hAnsi="微软雅黑" w:cs="微软雅黑" w:eastAsia="微软雅黑"/>
                <w:sz w:val="18"/>
                <w:szCs w:val="18"/>
                <w:lang w:val="en-US" w:eastAsia="zh-CN"/>
              </w:rPr>
              <w:t>人</w:t>
            </w:r>
          </w:p>
        </w:tc>
      </w:tr>
    </w:tbl>
    <w:p>
      <w:pPr>
        <w:pStyle w:val="Style14"/>
        <w:keepNext w:val="false"/>
        <w:keepLines w:val="false"/>
        <w:pageBreakBefore w:val="false"/>
        <w:widowControl w:val="false"/>
        <w:numPr>
          <w:ilvl w:val="0"/>
          <w:numId w:val="0"/>
        </w:numPr>
        <w:kinsoku w:val="true"/>
        <w:overflowPunct w:val="true"/>
        <w:bidi w:val="0"/>
        <w:snapToGrid w:val="true"/>
        <w:spacing w:lineRule="auto" w:line="240"/>
        <w:ind/>
        <w:jc w:val="both"/>
        <w:textAlignment w:val="auto"/>
        <w:rPr>
          <w:rFonts w:ascii="微软雅黑" w:hAnsi="微软雅黑" w:eastAsia="微软雅黑" w:cs="微软雅黑"/>
          <w:sz w:val="21"/>
          <w:szCs w:val="21"/>
          <w:lang w:val="en-US" w:eastAsia="zh-CN"/>
        </w:rPr>
      </w:pPr>
      <w:r>
        <w:rPr>
          <w:rFonts w:eastAsia="微软雅黑" w:cs="微软雅黑" w:ascii="微软雅黑" w:hAnsi="微软雅黑"/>
          <w:sz w:val="21"/>
          <w:szCs w:val="21"/>
          <w:lang w:val="en-US" w:eastAsia="zh-CN"/>
        </w:rPr>
      </w:r>
      <w:bookmarkStart w:id="0" w:name="_GoBack"/>
      <w:bookmarkStart w:id="1" w:name="_GoBack"/>
      <w:bookmarkEnd w:id="1"/>
    </w:p>
    <w:p>
      <w:pPr>
        <w:pStyle w:val="Style14"/>
        <w:keepNext w:val="false"/>
        <w:keepLines w:val="false"/>
        <w:pageBreakBefore w:val="false"/>
        <w:widowControl w:val="false"/>
        <w:numPr>
          <w:ilvl w:val="0"/>
          <w:numId w:val="0"/>
        </w:numPr>
        <w:kinsoku w:val="true"/>
        <w:overflowPunct w:val="true"/>
        <w:bidi w:val="0"/>
        <w:snapToGrid w:val="true"/>
        <w:spacing w:lineRule="auto" w:line="240"/>
        <w:ind/>
        <w:jc w:val="both"/>
        <w:textAlignment w:val="auto"/>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三、薪资福利</w:t>
      </w:r>
    </w:p>
    <w:p>
      <w:pPr>
        <w:pStyle w:val="Style14"/>
        <w:keepNext w:val="false"/>
        <w:keepLines w:val="false"/>
        <w:pageBreakBefore w:val="false"/>
        <w:widowControl w:val="false"/>
        <w:numPr>
          <w:ilvl w:val="0"/>
          <w:numId w:val="0"/>
        </w:numPr>
        <w:kinsoku w:val="true"/>
        <w:overflowPunct w:val="true"/>
        <w:bidi w:val="0"/>
        <w:snapToGrid w:val="true"/>
        <w:spacing w:lineRule="auto" w:line="240"/>
        <w:ind/>
        <w:jc w:val="both"/>
        <w:textAlignment w:val="auto"/>
        <w:rPr>
          <w:rFonts w:ascii="微软雅黑" w:hAnsi="微软雅黑" w:eastAsia="微软雅黑" w:cs="微软雅黑"/>
          <w:sz w:val="21"/>
          <w:szCs w:val="21"/>
          <w:lang w:val="en-US" w:eastAsia="zh-CN"/>
        </w:rPr>
      </w:pPr>
      <w:r>
        <w:rPr>
          <w:rFonts w:eastAsia="微软雅黑" w:cs="微软雅黑" w:ascii="微软雅黑" w:hAnsi="微软雅黑"/>
          <w:sz w:val="21"/>
          <w:szCs w:val="21"/>
          <w:lang w:val="en-US" w:eastAsia="zh-CN"/>
        </w:rPr>
        <w:t>1</w:t>
      </w:r>
      <w:r>
        <w:rPr>
          <w:rFonts w:ascii="微软雅黑" w:hAnsi="微软雅黑" w:cs="微软雅黑" w:eastAsia="微软雅黑"/>
          <w:sz w:val="21"/>
          <w:szCs w:val="21"/>
          <w:lang w:val="en-US" w:eastAsia="zh-CN"/>
        </w:rPr>
        <w:t>、八小时双休制、入职即缴纳六险一金；</w:t>
      </w:r>
    </w:p>
    <w:p>
      <w:pPr>
        <w:pStyle w:val="Style14"/>
        <w:keepNext w:val="false"/>
        <w:keepLines w:val="false"/>
        <w:pageBreakBefore w:val="false"/>
        <w:widowControl w:val="false"/>
        <w:numPr>
          <w:ilvl w:val="0"/>
          <w:numId w:val="0"/>
        </w:numPr>
        <w:kinsoku w:val="true"/>
        <w:overflowPunct w:val="true"/>
        <w:bidi w:val="0"/>
        <w:snapToGrid w:val="true"/>
        <w:spacing w:lineRule="auto" w:line="240"/>
        <w:ind/>
        <w:jc w:val="both"/>
        <w:textAlignment w:val="auto"/>
        <w:rPr>
          <w:rFonts w:ascii="微软雅黑" w:hAnsi="微软雅黑" w:eastAsia="微软雅黑" w:cs="微软雅黑"/>
          <w:sz w:val="21"/>
          <w:szCs w:val="21"/>
          <w:lang w:val="en-US" w:eastAsia="zh-CN"/>
        </w:rPr>
      </w:pPr>
      <w:r>
        <w:rPr>
          <w:rFonts w:eastAsia="微软雅黑" w:cs="微软雅黑" w:ascii="微软雅黑" w:hAnsi="微软雅黑"/>
          <w:sz w:val="21"/>
          <w:szCs w:val="21"/>
          <w:lang w:val="en-US" w:eastAsia="zh-CN"/>
        </w:rPr>
        <w:t>2</w:t>
      </w:r>
      <w:r>
        <w:rPr>
          <w:rFonts w:ascii="微软雅黑" w:hAnsi="微软雅黑" w:cs="微软雅黑" w:eastAsia="微软雅黑"/>
          <w:sz w:val="21"/>
          <w:szCs w:val="21"/>
          <w:lang w:val="en-US" w:eastAsia="zh-CN"/>
        </w:rPr>
        <w:t>、免费提供住宿、工作餐、健康体检、出国游；</w:t>
      </w:r>
    </w:p>
    <w:p>
      <w:pPr>
        <w:pStyle w:val="Style14"/>
        <w:keepNext w:val="false"/>
        <w:keepLines w:val="false"/>
        <w:pageBreakBefore w:val="false"/>
        <w:widowControl w:val="false"/>
        <w:numPr>
          <w:ilvl w:val="0"/>
          <w:numId w:val="0"/>
        </w:numPr>
        <w:kinsoku w:val="true"/>
        <w:overflowPunct w:val="true"/>
        <w:bidi w:val="0"/>
        <w:snapToGrid w:val="true"/>
        <w:spacing w:lineRule="auto" w:line="240"/>
        <w:ind/>
        <w:jc w:val="both"/>
        <w:textAlignment w:val="auto"/>
        <w:rPr>
          <w:rFonts w:ascii="微软雅黑" w:hAnsi="微软雅黑" w:eastAsia="微软雅黑" w:cs="微软雅黑"/>
          <w:sz w:val="21"/>
          <w:szCs w:val="21"/>
          <w:lang w:val="en-US" w:eastAsia="zh-CN"/>
        </w:rPr>
      </w:pPr>
      <w:r>
        <w:rPr>
          <w:rFonts w:eastAsia="微软雅黑" w:cs="微软雅黑" w:ascii="微软雅黑" w:hAnsi="微软雅黑"/>
          <w:sz w:val="21"/>
          <w:szCs w:val="21"/>
          <w:lang w:val="en-US" w:eastAsia="zh-CN"/>
        </w:rPr>
        <w:t>3</w:t>
      </w:r>
      <w:r>
        <w:rPr>
          <w:rFonts w:ascii="微软雅黑" w:hAnsi="微软雅黑" w:cs="微软雅黑" w:eastAsia="微软雅黑"/>
          <w:sz w:val="21"/>
          <w:szCs w:val="21"/>
          <w:lang w:val="en-US" w:eastAsia="zh-CN"/>
        </w:rPr>
        <w:t>、带薪休假、政府补贴、节日福利等等诸多福利。</w:t>
      </w:r>
    </w:p>
    <w:p>
      <w:pPr>
        <w:pStyle w:val="Style14"/>
        <w:keepNext w:val="false"/>
        <w:keepLines w:val="false"/>
        <w:pageBreakBefore w:val="false"/>
        <w:widowControl w:val="false"/>
        <w:numPr>
          <w:ilvl w:val="0"/>
          <w:numId w:val="0"/>
        </w:numPr>
        <w:kinsoku w:val="true"/>
        <w:overflowPunct w:val="true"/>
        <w:bidi w:val="0"/>
        <w:snapToGrid w:val="true"/>
        <w:spacing w:lineRule="auto" w:line="240"/>
        <w:ind/>
        <w:jc w:val="both"/>
        <w:textAlignment w:val="auto"/>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四、联系方式</w:t>
      </w:r>
    </w:p>
    <w:p>
      <w:pPr>
        <w:pStyle w:val="Style14"/>
        <w:keepNext w:val="false"/>
        <w:keepLines w:val="false"/>
        <w:pageBreakBefore w:val="false"/>
        <w:widowControl w:val="false"/>
        <w:numPr>
          <w:ilvl w:val="0"/>
          <w:numId w:val="3"/>
        </w:numPr>
        <w:kinsoku w:val="true"/>
        <w:overflowPunct w:val="true"/>
        <w:bidi w:val="0"/>
        <w:snapToGrid w:val="true"/>
        <w:spacing w:lineRule="auto" w:line="240"/>
        <w:ind w:leftChars="200" w:left="840"/>
        <w:jc w:val="both"/>
        <w:textAlignment w:val="auto"/>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联系人：周先生</w:t>
      </w:r>
    </w:p>
    <w:p>
      <w:pPr>
        <w:pStyle w:val="Style14"/>
        <w:keepNext w:val="false"/>
        <w:keepLines w:val="false"/>
        <w:pageBreakBefore w:val="false"/>
        <w:widowControl w:val="false"/>
        <w:numPr>
          <w:ilvl w:val="0"/>
          <w:numId w:val="3"/>
        </w:numPr>
        <w:kinsoku w:val="true"/>
        <w:overflowPunct w:val="true"/>
        <w:bidi w:val="0"/>
        <w:snapToGrid w:val="true"/>
        <w:spacing w:lineRule="auto" w:line="240"/>
        <w:ind w:leftChars="200" w:left="840"/>
        <w:jc w:val="both"/>
        <w:textAlignment w:val="auto"/>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手机：</w:t>
      </w:r>
      <w:r>
        <w:rPr>
          <w:rFonts w:eastAsia="微软雅黑" w:cs="微软雅黑" w:ascii="微软雅黑" w:hAnsi="微软雅黑"/>
          <w:sz w:val="21"/>
          <w:szCs w:val="21"/>
          <w:lang w:val="en-US" w:eastAsia="zh-CN"/>
        </w:rPr>
        <w:t>13325943562</w:t>
      </w:r>
    </w:p>
    <w:p>
      <w:pPr>
        <w:pStyle w:val="Style14"/>
        <w:keepNext w:val="false"/>
        <w:keepLines w:val="false"/>
        <w:pageBreakBefore w:val="false"/>
        <w:widowControl w:val="false"/>
        <w:numPr>
          <w:ilvl w:val="0"/>
          <w:numId w:val="3"/>
        </w:numPr>
        <w:kinsoku w:val="true"/>
        <w:overflowPunct w:val="true"/>
        <w:bidi w:val="0"/>
        <w:snapToGrid w:val="true"/>
        <w:spacing w:lineRule="auto" w:line="240"/>
        <w:ind w:leftChars="200" w:left="840"/>
        <w:jc w:val="both"/>
        <w:textAlignment w:val="auto"/>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招聘邮箱：</w:t>
      </w:r>
      <w:r>
        <w:rPr>
          <w:rFonts w:eastAsia="微软雅黑" w:cs="微软雅黑" w:ascii="微软雅黑" w:hAnsi="微软雅黑"/>
          <w:sz w:val="21"/>
          <w:szCs w:val="21"/>
          <w:lang w:val="en-US" w:eastAsia="zh-CN"/>
        </w:rPr>
        <w:t>ystxyzp@163.com</w:t>
      </w:r>
    </w:p>
    <w:p>
      <w:pPr>
        <w:pStyle w:val="Style14"/>
        <w:keepNext w:val="false"/>
        <w:keepLines w:val="false"/>
        <w:pageBreakBefore w:val="false"/>
        <w:widowControl w:val="false"/>
        <w:numPr>
          <w:ilvl w:val="0"/>
          <w:numId w:val="3"/>
        </w:numPr>
        <w:kinsoku w:val="true"/>
        <w:overflowPunct w:val="true"/>
        <w:bidi w:val="0"/>
        <w:snapToGrid w:val="true"/>
        <w:spacing w:lineRule="auto" w:line="240"/>
        <w:ind w:leftChars="200" w:left="840"/>
        <w:jc w:val="both"/>
        <w:textAlignment w:val="auto"/>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公司官网：</w:t>
      </w:r>
      <w:hyperlink r:id="rId3">
        <w:r>
          <w:rPr>
            <w:rStyle w:val="Internet"/>
            <w:rFonts w:eastAsia="微软雅黑" w:cs="微软雅黑" w:ascii="微软雅黑" w:hAnsi="微软雅黑"/>
            <w:sz w:val="21"/>
            <w:szCs w:val="21"/>
            <w:lang w:val="en-US" w:eastAsia="zh-CN"/>
          </w:rPr>
          <w:t>https://www.esto.cn</w:t>
        </w:r>
      </w:hyperlink>
    </w:p>
    <w:p>
      <w:pPr>
        <w:pStyle w:val="Style14"/>
        <w:keepNext w:val="false"/>
        <w:keepLines w:val="false"/>
        <w:pageBreakBefore w:val="false"/>
        <w:widowControl w:val="false"/>
        <w:numPr>
          <w:ilvl w:val="0"/>
          <w:numId w:val="3"/>
        </w:numPr>
        <w:kinsoku w:val="true"/>
        <w:overflowPunct w:val="true"/>
        <w:bidi w:val="0"/>
        <w:snapToGrid w:val="true"/>
        <w:spacing w:lineRule="auto" w:line="240"/>
        <w:ind w:leftChars="200" w:left="840"/>
        <w:jc w:val="both"/>
        <w:textAlignment w:val="auto"/>
        <w:rPr>
          <w:rFonts w:ascii="微软雅黑" w:hAnsi="微软雅黑" w:eastAsia="微软雅黑" w:cs="微软雅黑"/>
          <w:sz w:val="21"/>
          <w:szCs w:val="21"/>
          <w:lang w:val="en-US" w:eastAsia="zh-CN"/>
        </w:rPr>
      </w:pPr>
      <w:r>
        <w:rPr>
          <w:rFonts w:ascii="微软雅黑" w:hAnsi="微软雅黑" w:cs="微软雅黑" w:eastAsia="微软雅黑"/>
          <w:sz w:val="21"/>
          <w:szCs w:val="21"/>
          <w:lang w:val="en-US" w:eastAsia="zh-CN"/>
        </w:rPr>
        <w:t>公司地址：浙江省宁波市江北区浦丰路</w:t>
      </w:r>
      <w:r>
        <w:rPr>
          <w:rFonts w:eastAsia="微软雅黑" w:cs="微软雅黑" w:ascii="微软雅黑" w:hAnsi="微软雅黑"/>
          <w:sz w:val="21"/>
          <w:szCs w:val="21"/>
          <w:lang w:val="en-US" w:eastAsia="zh-CN"/>
        </w:rPr>
        <w:t>66</w:t>
      </w:r>
      <w:r>
        <w:rPr>
          <w:rFonts w:ascii="微软雅黑" w:hAnsi="微软雅黑" w:cs="微软雅黑" w:eastAsia="微软雅黑"/>
          <w:sz w:val="21"/>
          <w:szCs w:val="21"/>
          <w:lang w:val="en-US" w:eastAsia="zh-CN"/>
        </w:rPr>
        <w:t>号</w:t>
      </w:r>
    </w:p>
    <w:sectPr>
      <w:headerReference w:type="default" r:id="rId4"/>
      <w:footerReference w:type="default" r:id="rId5"/>
      <w:type w:val="nextPage"/>
      <w:pgSz w:w="11906" w:h="16838"/>
      <w:pgMar w:left="1080" w:right="1080" w:header="737" w:top="1440" w:footer="992" w:bottom="1440" w:gutter="0"/>
      <w:pgNumType w:fmt="decimal"/>
      <w:formProt w:val="false"/>
      <w:textDirection w:val="lrTb"/>
      <w:docGrid w:type="lines" w:linePitch="312" w:charSpace="4300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86"/>
    <w:family w:val="roman"/>
    <w:pitch w:val="variable"/>
  </w:font>
  <w:font w:name="Times New Roman">
    <w:charset w:val="86"/>
    <w:family w:val="roman"/>
    <w:pitch w:val="variable"/>
  </w:font>
  <w:font w:name="微软雅黑">
    <w:charset w:val="86"/>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jc w:val="center"/>
      <w:rPr>
        <w:rFonts w:ascii="微软雅黑" w:hAnsi="微软雅黑" w:eastAsia="微软雅黑" w:cs="微软雅黑"/>
      </w:rPr>
    </w:pPr>
    <w:r>
      <mc:AlternateContent>
        <mc:Choice Requires="wps">
          <w:drawing>
            <wp:anchor behindDoc="1" distT="0" distB="0" distL="0" distR="0" simplePos="0" locked="0" layoutInCell="0" allowOverlap="1" relativeHeight="6">
              <wp:simplePos x="0" y="0"/>
              <wp:positionH relativeFrom="margin">
                <wp:align>right</wp:align>
              </wp:positionH>
              <wp:positionV relativeFrom="paragraph">
                <wp:posOffset>635</wp:posOffset>
              </wp:positionV>
              <wp:extent cx="1829435" cy="139065"/>
              <wp:effectExtent l="0" t="0" r="0" b="0"/>
              <wp:wrapNone/>
              <wp:docPr id="3" name="文本框 5"/>
              <a:graphic xmlns:a="http://schemas.openxmlformats.org/drawingml/2006/main">
                <a:graphicData uri="http://schemas.microsoft.com/office/word/2010/wordprocessingShape">
                  <wps:wsp>
                    <wps:cNvSpPr/>
                    <wps:spPr>
                      <a:xfrm>
                        <a:off x="0" y="0"/>
                        <a:ext cx="1828800" cy="138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15"/>
                            <w:rPr>
                              <w:color w:val="000000"/>
                            </w:rPr>
                          </w:pPr>
                          <w:r>
                            <w:rPr>
                              <w:color w:val="000000"/>
                            </w:rPr>
                            <w:fldChar w:fldCharType="begin"/>
                          </w:r>
                          <w:r>
                            <w:rPr>
                              <w:color w:val="000000"/>
                            </w:rPr>
                            <w:instrText> PAGE </w:instrText>
                          </w:r>
                          <w:r>
                            <w:rPr>
                              <w:color w:val="000000"/>
                            </w:rPr>
                            <w:fldChar w:fldCharType="separate"/>
                          </w:r>
                          <w:r>
                            <w:rPr>
                              <w:color w:val="000000"/>
                            </w:rPr>
                            <w:t>2</w:t>
                          </w:r>
                          <w:r>
                            <w:rPr>
                              <w:color w:val="000000"/>
                            </w:rPr>
                            <w:fldChar w:fldCharType="end"/>
                          </w:r>
                        </w:p>
                      </w:txbxContent>
                    </wps:txbx>
                    <wps:bodyPr lIns="0" rIns="0" tIns="0" bIns="0">
                      <a:spAutoFit/>
                    </wps:bodyPr>
                  </wps:wsp>
                </a:graphicData>
              </a:graphic>
            </wp:anchor>
          </w:drawing>
        </mc:Choice>
        <mc:Fallback>
          <w:pict>
            <v:rect id="shape_0" ID="文本框 5" stroked="f" style="position:absolute;margin-left:343.25pt;margin-top:0pt;width:143.95pt;height:10.85pt;mso-wrap-style:square;v-text-anchor:top;mso-position-horizontal:right;mso-position-horizontal-relative:margin">
              <v:fill o:detectmouseclick="t" on="false"/>
              <v:stroke color="#3465a4" weight="6480" joinstyle="round" endcap="flat"/>
              <v:textbox>
                <w:txbxContent>
                  <w:p>
                    <w:pPr>
                      <w:pStyle w:val="Style15"/>
                      <w:rPr>
                        <w:color w:val="000000"/>
                      </w:rPr>
                    </w:pPr>
                    <w:r>
                      <w:rPr>
                        <w:color w:val="000000"/>
                      </w:rPr>
                      <w:fldChar w:fldCharType="begin"/>
                    </w:r>
                    <w:r>
                      <w:rPr>
                        <w:color w:val="000000"/>
                      </w:rPr>
                      <w:instrText> PAGE </w:instrText>
                    </w:r>
                    <w:r>
                      <w:rPr>
                        <w:color w:val="000000"/>
                      </w:rPr>
                      <w:fldChar w:fldCharType="separate"/>
                    </w:r>
                    <w:r>
                      <w:rPr>
                        <w:color w:val="000000"/>
                      </w:rPr>
                      <w:t>2</w:t>
                    </w:r>
                    <w:r>
                      <w:rPr>
                        <w:color w:val="000000"/>
                      </w:rPr>
                      <w:fldChar w:fldCharType="end"/>
                    </w:r>
                  </w:p>
                </w:txbxContent>
              </v:textbox>
              <w10:wrap type="none"/>
            </v:rect>
          </w:pict>
        </mc:Fallback>
      </mc:AlternateContent>
    </w:r>
    <w:r>
      <w:rPr>
        <w:rFonts w:ascii="微软雅黑" w:hAnsi="微软雅黑" w:cs="微软雅黑" w:eastAsia="微软雅黑"/>
        <w:lang w:eastAsia="zh-CN"/>
      </w:rPr>
      <w:t>以专业技术推进产业变革</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jc w:val="center"/>
      <w:rPr>
        <w:rFonts w:ascii="微软雅黑" w:hAnsi="微软雅黑" w:eastAsia="微软雅黑" w:cs="微软雅黑"/>
        <w:sz w:val="21"/>
        <w:szCs w:val="32"/>
        <w:lang w:val="en-US" w:eastAsia="zh-CN"/>
      </w:rPr>
    </w:pPr>
    <w:r>
      <w:rPr>
        <w:rFonts w:eastAsia="微软雅黑" w:cs="微软雅黑" w:ascii="微软雅黑" w:hAnsi="微软雅黑"/>
        <w:sz w:val="21"/>
        <w:szCs w:val="32"/>
        <w:lang w:val="en-US" w:eastAsia="zh-CN"/>
      </w:rPr>
      <w:drawing>
        <wp:anchor behindDoc="1" distT="0" distB="0" distL="114300" distR="114300" simplePos="0" locked="0" layoutInCell="0" allowOverlap="1" relativeHeight="4">
          <wp:simplePos x="0" y="0"/>
          <wp:positionH relativeFrom="column">
            <wp:posOffset>2657475</wp:posOffset>
          </wp:positionH>
          <wp:positionV relativeFrom="paragraph">
            <wp:posOffset>-171450</wp:posOffset>
          </wp:positionV>
          <wp:extent cx="766445" cy="542290"/>
          <wp:effectExtent l="0" t="0" r="0" b="0"/>
          <wp:wrapSquare wrapText="bothSides"/>
          <wp:docPr id="2" name="图片 4" descr="伊士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伊士通LOGO"/>
                  <pic:cNvPicPr>
                    <a:picLocks noChangeAspect="1" noChangeArrowheads="1"/>
                  </pic:cNvPicPr>
                </pic:nvPicPr>
                <pic:blipFill>
                  <a:blip r:embed="rId1"/>
                  <a:stretch>
                    <a:fillRect/>
                  </a:stretch>
                </pic:blipFill>
                <pic:spPr bwMode="auto">
                  <a:xfrm>
                    <a:off x="0" y="0"/>
                    <a:ext cx="766445" cy="5422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taiwaneseCountingThousand"/>
      <w:suff w:val="nothing"/>
      <w:lvlText w:val="%1、"/>
      <w:lvlJc w:val="left"/>
      <w:pPr>
        <w:tabs>
          <w:tab w:val="num" w:pos="0"/>
        </w:tabs>
        <w:ind w:left="0" w:firstLine="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420"/>
  <w:autoHyphenation w:val="true"/>
  <w:compat>
    <w:doNotExpandShiftReturn/>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fals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qFormat="1"/>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character" w:styleId="DefaultParagraphFont" w:default="1">
    <w:name w:val="Default Paragraph Font"/>
    <w:uiPriority w:val="0"/>
    <w:semiHidden/>
    <w:qFormat/>
    <w:rPr/>
  </w:style>
  <w:style w:type="character" w:styleId="Internet">
    <w:name w:val="Internet 链接"/>
    <w:basedOn w:val="DefaultParagraphFont"/>
    <w:uiPriority w:val="0"/>
    <w:qFormat/>
    <w:rPr>
      <w:color w:val="0000FF"/>
      <w:u w:val="single"/>
    </w:rPr>
  </w:style>
  <w:style w:type="paragraph" w:styleId="Style14" w:default="1">
    <w:name w:val="正文"/>
    <w:uiPriority w:val="0"/>
    <w:qFormat/>
    <w:pPr>
      <w:widowControl w:val="false"/>
      <w:bidi w:val="0"/>
      <w:spacing w:beforeLines="0" w:beforeAutospacing="0" w:afterLines="0" w:afterAutospacing="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paragraph" w:styleId="Style15">
    <w:name w:val="页脚"/>
    <w:basedOn w:val="Style14"/>
    <w:uiPriority w:val="0"/>
    <w:qFormat/>
    <w:pPr>
      <w:tabs>
        <w:tab w:val="clear" w:pos="420"/>
        <w:tab w:val="center" w:pos="4153" w:leader="none"/>
        <w:tab w:val="right" w:pos="8306" w:leader="none"/>
      </w:tabs>
      <w:snapToGrid w:val="false"/>
      <w:jc w:val="left"/>
    </w:pPr>
    <w:rPr>
      <w:sz w:val="18"/>
    </w:rPr>
  </w:style>
  <w:style w:type="paragraph" w:styleId="Style16">
    <w:name w:val="页眉"/>
    <w:basedOn w:val="Style14"/>
    <w:uiPriority w:val="0"/>
    <w:qFormat/>
    <w:pPr>
      <w:pBdr/>
      <w:tabs>
        <w:tab w:val="clear" w:pos="420"/>
        <w:tab w:val="center" w:pos="4153" w:leader="none"/>
        <w:tab w:val="right" w:pos="8306" w:leader="none"/>
      </w:tabs>
      <w:snapToGrid w:val="false"/>
      <w:spacing w:lineRule="auto" w:line="240"/>
      <w:jc w:val="both"/>
    </w:pPr>
    <w:rPr>
      <w:sz w:val="18"/>
    </w:rPr>
  </w:style>
  <w:style w:type="table" w:default="1" w:styleId="4">
    <w:name w:val="Normal Table"/>
    <w:uiPriority w:val="0"/>
    <w:semiHidden/>
    <w:qFormat/>
    <w:tblPr>
      <w:tblCellMar>
        <w:top w:w="0" w:type="dxa"/>
        <w:left w:w="108" w:type="dxa"/>
        <w:bottom w:w="0" w:type="dxa"/>
        <w:right w:w="108" w:type="dxa"/>
      </w:tblCellMar>
    </w:tblPr>
  </w:style>
  <w:style w:type="table" w:styleId="5">
    <w:name w:val="Table Grid"/>
    <w:basedOn w:val="4"/>
    <w:uiPriority w:val="0"/>
    <w:qFormat/>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esto.cn/"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Application>LanShanOffice/1.4.1.10907$Windows_X86_64 LibreOffice_project/9c1eafdd6df65fffc15a828d5a9fd7d92823ade4</Application>
  <AppVersion>15.0000</AppVersion>
  <Pages>2</Pages>
  <Words>933</Words>
  <Characters>1031</Characters>
  <CharactersWithSpaces>1031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2022-09-15T06:49:00Z</dcterms:created>
  <dc:creator>WPS_1459775296</dc:creator>
  <dc:description/>
  <dc:language>zh-CN</dc:language>
  <cp:lastModifiedBy>lenovo</cp:lastModifiedBy>
  <dcterms:modified xsi:type="dcterms:W3CDTF">2023-02-17T09:36:27Z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C72A51CB2A234250841CD55AB9C18DC4</vt:lpwstr>
  </property>
  <property fmtid="{D5CDD505-2E9C-101B-9397-08002B2CF9AE}" pid="3" name="KSOProductBuildVer">
    <vt:lpwstr>2052-11.1.0.11411</vt:lpwstr>
  </property>
</Properties>
</file>