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8"/>
        <w:ind w:left="3215" w:right="3394" w:firstLine="0"/>
        <w:jc w:val="center"/>
        <w:rPr>
          <w:b/>
          <w:sz w:val="22"/>
        </w:rPr>
      </w:pPr>
      <w:r>
        <w:rPr>
          <w:b/>
          <w:sz w:val="22"/>
        </w:rPr>
        <w:t>一通天下信息</w:t>
      </w:r>
      <w:r>
        <w:rPr>
          <w:rFonts w:hint="eastAsia"/>
          <w:b/>
          <w:sz w:val="22"/>
          <w:lang w:val="en-US" w:eastAsia="zh-CN"/>
        </w:rPr>
        <w:t>产业</w:t>
      </w:r>
      <w:r>
        <w:rPr>
          <w:b/>
          <w:sz w:val="22"/>
        </w:rPr>
        <w:t>有限公司</w:t>
      </w:r>
    </w:p>
    <w:p>
      <w:pPr>
        <w:pStyle w:val="2"/>
        <w:spacing w:before="229"/>
        <w:ind w:left="3212" w:right="3394"/>
        <w:jc w:val="center"/>
        <w:rPr>
          <w:sz w:val="13"/>
          <w:szCs w:val="13"/>
        </w:rPr>
      </w:pPr>
      <w:r>
        <w:rPr>
          <w:sz w:val="13"/>
          <w:szCs w:val="13"/>
        </w:rPr>
        <w:t>银行账单分期客服</w:t>
      </w:r>
    </w:p>
    <w:p>
      <w:pPr>
        <w:pStyle w:val="4"/>
        <w:spacing w:before="8"/>
        <w:ind w:left="0"/>
        <w:rPr>
          <w:b/>
          <w:sz w:val="10"/>
        </w:rPr>
      </w:pPr>
    </w:p>
    <w:p>
      <w:pPr>
        <w:spacing w:before="44"/>
        <w:ind w:left="119" w:right="0" w:firstLine="0"/>
        <w:jc w:val="left"/>
        <w:rPr>
          <w:b/>
          <w:sz w:val="21"/>
        </w:rPr>
      </w:pPr>
      <w:r>
        <w:rPr>
          <w:b/>
          <w:sz w:val="21"/>
        </w:rPr>
        <w:t>公司简介：</w:t>
      </w:r>
    </w:p>
    <w:p>
      <w:pPr>
        <w:pStyle w:val="4"/>
        <w:spacing w:line="386" w:lineRule="auto"/>
        <w:ind w:right="291" w:firstLine="631"/>
        <w:jc w:val="both"/>
        <w:rPr>
          <w:rFonts w:hint="eastAsia" w:ascii="微软雅黑" w:hAnsi="微软雅黑" w:eastAsia="微软雅黑" w:cs="微软雅黑"/>
          <w:sz w:val="21"/>
          <w:szCs w:val="22"/>
          <w:lang w:val="en-US" w:eastAsia="zh-CN" w:bidi="zh-CN"/>
        </w:rPr>
      </w:pPr>
      <w:r>
        <w:rPr>
          <w:rFonts w:hint="eastAsia" w:ascii="微软雅黑" w:hAnsi="微软雅黑" w:eastAsia="微软雅黑" w:cs="微软雅黑"/>
          <w:sz w:val="21"/>
          <w:szCs w:val="22"/>
          <w:lang w:val="en-US" w:eastAsia="zh-CN" w:bidi="zh-CN"/>
        </w:rPr>
        <w:t>一通天下，前身武汉晋安网电商贸有限公司成立于 2007年，2017 年总部迁移至北京，注册资本 1000 万元，隶属 BPO 行业，以“帮助企业存量数据持续变现”为使命，以成为“领先的营销科技平台运营商”为愿景，以 ABC（人工智能、大数据与客户关系管理系统）数字科技为驱动，数网电微立体营销为解决方案，分期/贷款/理财/保险/健康管理为产品，帮助 B 端企业推行 C 端客户全生命周期（获客期、成长期、成熟期、衰退期、流失期）的数字化营销服务。公司拥有一通天下一个集团，BPO/数字营销两种服务，一通天下、百银千网和人链人三个主体， 分期、助贷、理财、助保、客服    五类 业务，合肥、昆山、宿州、南昌 四个基地，直营坐席数量 3000+。</w:t>
      </w:r>
    </w:p>
    <w:p>
      <w:pPr>
        <w:pStyle w:val="4"/>
        <w:spacing w:line="386" w:lineRule="auto"/>
        <w:ind w:right="291" w:firstLine="631"/>
        <w:jc w:val="both"/>
        <w:rPr>
          <w:rFonts w:hint="eastAsia" w:ascii="微软雅黑" w:hAnsi="微软雅黑" w:eastAsia="微软雅黑" w:cs="微软雅黑"/>
          <w:sz w:val="21"/>
          <w:szCs w:val="22"/>
          <w:lang w:val="en-US" w:eastAsia="zh-CN" w:bidi="zh-CN"/>
        </w:rPr>
      </w:pPr>
      <w:r>
        <w:rPr>
          <w:rFonts w:hint="eastAsia" w:ascii="微软雅黑" w:hAnsi="微软雅黑" w:eastAsia="微软雅黑" w:cs="微软雅黑"/>
          <w:sz w:val="21"/>
          <w:szCs w:val="22"/>
          <w:lang w:val="en-US" w:eastAsia="zh-CN" w:bidi="zh-CN"/>
        </w:rPr>
        <w:drawing>
          <wp:anchor distT="0" distB="0" distL="0" distR="0" simplePos="0" relativeHeight="251662336" behindDoc="1" locked="1" layoutInCell="1" allowOverlap="1">
            <wp:simplePos x="0" y="0"/>
            <wp:positionH relativeFrom="page">
              <wp:posOffset>957580</wp:posOffset>
            </wp:positionH>
            <wp:positionV relativeFrom="paragraph">
              <wp:posOffset>262890</wp:posOffset>
            </wp:positionV>
            <wp:extent cx="5751195" cy="2187575"/>
            <wp:effectExtent l="0" t="0" r="9525" b="6985"/>
            <wp:wrapTight wrapText="bothSides">
              <wp:wrapPolygon>
                <wp:start x="0" y="0"/>
                <wp:lineTo x="0" y="21518"/>
                <wp:lineTo x="21521" y="21518"/>
                <wp:lineTo x="21521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489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3"/>
        <w:ind w:right="0"/>
        <w:jc w:val="left"/>
        <w:rPr>
          <w:b/>
          <w:sz w:val="21"/>
        </w:rPr>
      </w:pPr>
      <w:r>
        <w:rPr>
          <w:b/>
          <w:sz w:val="21"/>
        </w:rPr>
        <w:t>【银行分期专员——主要职责】</w:t>
      </w:r>
    </w:p>
    <w:p>
      <w:pPr>
        <w:pStyle w:val="4"/>
      </w:pPr>
      <w:r>
        <w:t>1、负责代表兴业银行向银行信用卡优质客户推荐分期还款业务，减轻客户还款压力；</w:t>
      </w:r>
    </w:p>
    <w:p>
      <w:pPr>
        <w:pStyle w:val="4"/>
        <w:spacing w:line="386" w:lineRule="auto"/>
        <w:ind w:right="221"/>
      </w:pPr>
      <w:r>
        <w:t>2、该岗位服务于银行自有客户（已办理本行信用卡并有消费的优质客户），使用行内官方热线外呼，不需要外出开发新客户。</w:t>
      </w:r>
    </w:p>
    <w:p>
      <w:pPr>
        <w:pStyle w:val="2"/>
        <w:spacing w:before="1"/>
      </w:pPr>
      <w:r>
        <w:t>【应聘要求】</w:t>
      </w:r>
    </w:p>
    <w:p>
      <w:pPr>
        <w:pStyle w:val="10"/>
        <w:numPr>
          <w:ilvl w:val="0"/>
          <w:numId w:val="1"/>
        </w:numPr>
        <w:tabs>
          <w:tab w:val="left" w:pos="432"/>
        </w:tabs>
        <w:spacing w:before="237" w:after="0" w:line="240" w:lineRule="auto"/>
        <w:ind w:left="431" w:right="0" w:hanging="313"/>
        <w:jc w:val="left"/>
        <w:rPr>
          <w:sz w:val="21"/>
          <w:highlight w:val="yellow"/>
        </w:rPr>
      </w:pPr>
      <w:r>
        <w:rPr>
          <w:rFonts w:hint="eastAsia"/>
          <w:sz w:val="21"/>
          <w:highlight w:val="yellow"/>
          <w:lang w:val="en-US" w:eastAsia="zh-CN"/>
        </w:rPr>
        <w:t>大专</w:t>
      </w:r>
      <w:r>
        <w:rPr>
          <w:sz w:val="21"/>
          <w:highlight w:val="yellow"/>
        </w:rPr>
        <w:t xml:space="preserve">及以上学历，年龄 </w:t>
      </w:r>
      <w:r>
        <w:rPr>
          <w:rFonts w:hint="eastAsia"/>
          <w:sz w:val="21"/>
          <w:highlight w:val="yellow"/>
          <w:lang w:val="en-US" w:eastAsia="zh-CN"/>
        </w:rPr>
        <w:t>18</w:t>
      </w:r>
      <w:r>
        <w:rPr>
          <w:sz w:val="21"/>
          <w:highlight w:val="yellow"/>
        </w:rPr>
        <w:t>-30 岁，（有经验者放宽至 35 周岁</w:t>
      </w:r>
      <w:r>
        <w:rPr>
          <w:rFonts w:hint="eastAsia"/>
          <w:sz w:val="21"/>
          <w:highlight w:val="yellow"/>
          <w:lang w:eastAsia="zh-CN"/>
        </w:rPr>
        <w:t>、</w:t>
      </w:r>
      <w:r>
        <w:rPr>
          <w:rFonts w:hint="eastAsia"/>
          <w:sz w:val="21"/>
          <w:highlight w:val="yellow"/>
          <w:lang w:val="en-US" w:eastAsia="zh-CN"/>
        </w:rPr>
        <w:t>学历适当放宽至高中、中专</w:t>
      </w:r>
      <w:r>
        <w:rPr>
          <w:sz w:val="21"/>
          <w:highlight w:val="yellow"/>
        </w:rPr>
        <w:t>）且持有本人</w:t>
      </w:r>
      <w:r>
        <w:rPr>
          <w:rFonts w:hint="eastAsia"/>
          <w:sz w:val="21"/>
          <w:highlight w:val="yellow"/>
          <w:lang w:val="en-US" w:eastAsia="zh-CN"/>
        </w:rPr>
        <w:t>三方协议或毕业证原件，</w:t>
      </w:r>
    </w:p>
    <w:p>
      <w:pPr>
        <w:pStyle w:val="10"/>
        <w:numPr>
          <w:ilvl w:val="0"/>
          <w:numId w:val="0"/>
        </w:numPr>
        <w:tabs>
          <w:tab w:val="left" w:pos="432"/>
        </w:tabs>
        <w:spacing w:before="237" w:after="0" w:line="240" w:lineRule="auto"/>
        <w:ind w:left="118" w:leftChars="0" w:right="0" w:rightChars="0"/>
        <w:jc w:val="left"/>
        <w:rPr>
          <w:sz w:val="21"/>
          <w:highlight w:val="yellow"/>
        </w:rPr>
      </w:pPr>
    </w:p>
    <w:p>
      <w:pPr>
        <w:pStyle w:val="10"/>
        <w:numPr>
          <w:ilvl w:val="0"/>
          <w:numId w:val="1"/>
        </w:numPr>
        <w:tabs>
          <w:tab w:val="left" w:pos="432"/>
        </w:tabs>
        <w:spacing w:before="237" w:after="0" w:line="240" w:lineRule="auto"/>
        <w:ind w:left="431" w:right="0" w:hanging="313"/>
        <w:jc w:val="left"/>
        <w:rPr>
          <w:sz w:val="21"/>
        </w:rPr>
      </w:pPr>
      <w:r>
        <w:rPr>
          <w:sz w:val="21"/>
        </w:rPr>
        <w:t>个人征信报告近三个月不能有逾期或者近半年逾期次数不超过 2 次及以上；</w:t>
      </w:r>
    </w:p>
    <w:p>
      <w:pPr>
        <w:pStyle w:val="10"/>
        <w:numPr>
          <w:ilvl w:val="0"/>
          <w:numId w:val="1"/>
        </w:numPr>
        <w:tabs>
          <w:tab w:val="left" w:pos="432"/>
        </w:tabs>
        <w:spacing w:before="237" w:after="0" w:line="240" w:lineRule="auto"/>
        <w:ind w:left="431" w:right="0" w:hanging="313"/>
        <w:jc w:val="left"/>
        <w:rPr>
          <w:lang w:val="zh-CN" w:eastAsia="zh-CN"/>
        </w:rPr>
        <w:sectPr>
          <w:headerReference r:id="rId5" w:type="default"/>
          <w:type w:val="continuous"/>
          <w:pgSz w:w="11910" w:h="16840"/>
          <w:pgMar w:top="1220" w:right="1220" w:bottom="280" w:left="1400" w:header="720" w:footer="720" w:gutter="0"/>
          <w:cols w:space="720" w:num="1"/>
        </w:sectPr>
      </w:pPr>
      <w:r>
        <w:rPr>
          <w:sz w:val="21"/>
        </w:rPr>
        <w:t>熟悉电信运营商和各类基础通讯产品，有电信、通信等呼叫中心相关行业销售经验优先</w:t>
      </w:r>
      <w:r>
        <w:rPr>
          <w:rFonts w:hint="eastAsia"/>
          <w:sz w:val="21"/>
          <w:lang w:eastAsia="zh-CN"/>
        </w:rPr>
        <w:t>。</w:t>
      </w:r>
    </w:p>
    <w:p>
      <w:pPr>
        <w:pStyle w:val="2"/>
        <w:spacing w:before="18"/>
        <w:ind w:left="0" w:leftChars="0" w:firstLine="0" w:firstLineChars="0"/>
      </w:pPr>
    </w:p>
    <w:p>
      <w:pPr>
        <w:pStyle w:val="2"/>
        <w:spacing w:before="18"/>
        <w:ind w:left="0" w:leftChars="0" w:firstLine="0" w:firstLineChars="0"/>
      </w:pPr>
      <w:r>
        <w:t>【工作时间】</w:t>
      </w:r>
    </w:p>
    <w:p>
      <w:pPr>
        <w:pStyle w:val="4"/>
        <w:spacing w:before="9"/>
        <w:ind w:left="0"/>
        <w:rPr>
          <w:b/>
          <w:sz w:val="10"/>
        </w:rPr>
      </w:pPr>
    </w:p>
    <w:p>
      <w:pPr>
        <w:pStyle w:val="4"/>
        <w:spacing w:before="44"/>
        <w:jc w:val="left"/>
      </w:pPr>
      <w:r>
        <w:t xml:space="preserve">长白班，早上 9 点-下午 </w:t>
      </w:r>
      <w:r>
        <w:rPr>
          <w:rFonts w:hint="eastAsia"/>
          <w:lang w:val="en-US" w:eastAsia="zh-CN"/>
        </w:rPr>
        <w:t>19:00</w:t>
      </w:r>
      <w:r>
        <w:t xml:space="preserve">，月休 </w:t>
      </w:r>
      <w:r>
        <w:rPr>
          <w:rFonts w:hint="eastAsia"/>
          <w:lang w:val="en-US" w:eastAsia="zh-CN"/>
        </w:rPr>
        <w:t>6-8</w:t>
      </w:r>
      <w:r>
        <w:t>天（</w:t>
      </w:r>
      <w:r>
        <w:rPr>
          <w:rFonts w:hint="eastAsia"/>
          <w:lang w:val="en-US" w:eastAsia="zh-CN"/>
        </w:rPr>
        <w:t>排班制</w:t>
      </w:r>
      <w:r>
        <w:t>）。</w:t>
      </w:r>
    </w:p>
    <w:p>
      <w:pPr>
        <w:pStyle w:val="2"/>
        <w:jc w:val="left"/>
      </w:pPr>
      <w:r>
        <w:t>【薪资待遇】</w:t>
      </w:r>
    </w:p>
    <w:p>
      <w:pPr>
        <w:pStyle w:val="4"/>
        <w:numPr>
          <w:ilvl w:val="0"/>
          <w:numId w:val="2"/>
        </w:numPr>
        <w:ind w:left="220" w:leftChars="0" w:firstLineChars="0"/>
        <w:jc w:val="left"/>
      </w:pPr>
      <w:r>
        <w:t>综合年薪 6-10 万，公司购买五险一金。</w:t>
      </w:r>
    </w:p>
    <w:p>
      <w:pPr>
        <w:pStyle w:val="4"/>
        <w:numPr>
          <w:ilvl w:val="0"/>
          <w:numId w:val="2"/>
        </w:numPr>
        <w:spacing w:before="44"/>
        <w:ind w:left="22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薪资结构：无责基本底薪2000+全勤300+餐补200+提成绩效点（0.80%-2.8%*手续费），手续费月度普遍在50w-100w；新人首月保护1000元绩效；首月保底工资3500元。</w:t>
      </w:r>
    </w:p>
    <w:p>
      <w:pPr>
        <w:pStyle w:val="4"/>
        <w:numPr>
          <w:ilvl w:val="0"/>
          <w:numId w:val="2"/>
        </w:numPr>
        <w:spacing w:before="44"/>
        <w:ind w:left="220" w:leftChars="0" w:firstLine="0" w:firstLineChars="0"/>
        <w:jc w:val="left"/>
      </w:pPr>
      <w:r>
        <w:t xml:space="preserve">综合月薪平均 </w:t>
      </w:r>
      <w:r>
        <w:rPr>
          <w:rFonts w:hint="eastAsia"/>
          <w:lang w:val="en-US" w:eastAsia="zh-CN"/>
        </w:rPr>
        <w:t>6</w:t>
      </w:r>
      <w:r>
        <w:t>000 至 9000（上不封顶）。</w:t>
      </w:r>
    </w:p>
    <w:p>
      <w:pPr>
        <w:pStyle w:val="4"/>
        <w:spacing w:before="8"/>
        <w:ind w:left="0"/>
        <w:jc w:val="left"/>
        <w:rPr>
          <w:sz w:val="10"/>
        </w:rPr>
      </w:pPr>
    </w:p>
    <w:p>
      <w:pPr>
        <w:keepNext w:val="0"/>
        <w:keepLines w:val="0"/>
        <w:widowControl/>
        <w:suppressLineNumbers w:val="0"/>
        <w:ind w:firstLine="220" w:firstLineChars="100"/>
        <w:jc w:val="left"/>
        <w:rPr>
          <w:rFonts w:hint="eastAsia"/>
          <w:lang w:val="en-US" w:eastAsia="zh-CN"/>
        </w:rPr>
      </w:pPr>
      <w:r>
        <w:t>备注：岗前培训 7 天</w:t>
      </w:r>
      <w:r>
        <w:rPr>
          <w:rFonts w:hint="eastAsia"/>
          <w:lang w:val="en-US" w:eastAsia="zh-CN"/>
        </w:rPr>
        <w:t>+上线实操7天</w:t>
      </w:r>
      <w:r>
        <w:t>，培训</w:t>
      </w:r>
      <w:r>
        <w:rPr>
          <w:rFonts w:hint="eastAsia"/>
          <w:lang w:val="en-US" w:eastAsia="zh-CN"/>
        </w:rPr>
        <w:t>和实操</w:t>
      </w:r>
      <w:r>
        <w:t>补贴 60 元/工作日，培训考核合格后发放补贴,不合格不发放补贴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实操期考核通过按照上线薪资发放，未通过的按照培训期60元1天发放，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 w:bidi="zh-CN"/>
        </w:rPr>
        <w:t>新人保护</w:t>
      </w:r>
      <w:r>
        <w:t>】</w:t>
      </w:r>
    </w:p>
    <w:p>
      <w:pPr>
        <w:keepNext w:val="0"/>
        <w:keepLines w:val="0"/>
        <w:widowControl/>
        <w:suppressLineNumbers w:val="0"/>
        <w:ind w:firstLine="660" w:firstLineChars="300"/>
        <w:jc w:val="left"/>
      </w:pPr>
      <w:r>
        <w:rPr>
          <w:lang w:val="en-US" w:eastAsia="zh-CN"/>
        </w:rPr>
        <w:t>新员工在当月15日 （包含）之前上线，当月享有绩效保护，在当月15日之后上线，当月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>不享有绩效保护，次月完整月享有绩效保护1000元（首月日均通时≥1.5H，低于1.5H则不享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>受保护绩效），与实际取高发放，次月发薪日在职方可享有绩效保护，若有缺勤，按照实际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出勤天数进行折算，若次月发薪日前离职，按照基本法规定执行。</w:t>
      </w:r>
    </w:p>
    <w:p>
      <w:pPr>
        <w:pStyle w:val="2"/>
        <w:jc w:val="left"/>
      </w:pPr>
      <w:r>
        <w:t>【福利】</w:t>
      </w:r>
      <w:bookmarkStart w:id="0" w:name="_GoBack"/>
      <w:bookmarkEnd w:id="0"/>
    </w:p>
    <w:p>
      <w:pPr>
        <w:pStyle w:val="4"/>
        <w:spacing w:before="8"/>
        <w:ind w:left="0"/>
        <w:rPr>
          <w:b/>
          <w:sz w:val="10"/>
        </w:rPr>
      </w:pPr>
    </w:p>
    <w:p>
      <w:pPr>
        <w:pStyle w:val="4"/>
        <w:spacing w:before="44"/>
        <w:rPr>
          <w:rFonts w:hint="default" w:eastAsia="微软雅黑"/>
          <w:lang w:val="en-US" w:eastAsia="zh-CN"/>
        </w:rPr>
      </w:pPr>
      <w:r>
        <w:t>1、公司提供住宿（6 人寝</w:t>
      </w:r>
      <w:r>
        <w:rPr>
          <w:rFonts w:hint="eastAsia"/>
          <w:lang w:val="en-US" w:eastAsia="zh-CN"/>
        </w:rPr>
        <w:t>室</w:t>
      </w:r>
      <w:r>
        <w:t xml:space="preserve">），交 </w:t>
      </w:r>
      <w:r>
        <w:rPr>
          <w:rFonts w:hint="eastAsia"/>
          <w:lang w:val="en-US" w:eastAsia="zh-CN"/>
        </w:rPr>
        <w:t>2</w:t>
      </w:r>
      <w:r>
        <w:t>00 元押金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正常离职退还押金200元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水电费工资卡均摊</w:t>
      </w:r>
      <w:r>
        <w:t>；</w:t>
      </w:r>
      <w:r>
        <w:rPr>
          <w:rFonts w:hint="eastAsia"/>
          <w:lang w:val="en-US" w:eastAsia="zh-CN"/>
        </w:rPr>
        <w:t>前3个月每月200元房费，后3个月每个月返还200元，宿舍无费用。</w:t>
      </w:r>
    </w:p>
    <w:p>
      <w:pPr>
        <w:pStyle w:val="4"/>
      </w:pPr>
      <w:r>
        <w:t>2、试用期 1 个月，实习生购买意外险；</w:t>
      </w:r>
    </w:p>
    <w:p>
      <w:pPr>
        <w:pStyle w:val="4"/>
      </w:pPr>
      <w:r>
        <w:t>3、入职满 3 个月，满 3 月缴纳五险一金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要有毕业证</w:t>
      </w:r>
      <w:r>
        <w:rPr>
          <w:rFonts w:hint="eastAsia"/>
          <w:lang w:eastAsia="zh-CN"/>
        </w:rPr>
        <w:t>），</w:t>
      </w:r>
      <w:r>
        <w:t>之后每年公司免费提供一次体检；</w:t>
      </w:r>
    </w:p>
    <w:p>
      <w:pPr>
        <w:pStyle w:val="4"/>
      </w:pPr>
      <w:r>
        <w:t>4、宿舍提供热水器、空调等日常电器；</w:t>
      </w:r>
    </w:p>
    <w:p>
      <w:pPr>
        <w:pStyle w:val="4"/>
      </w:pPr>
      <w:r>
        <w:t>5、专业的岗前、岗中技能培训；</w:t>
      </w:r>
    </w:p>
    <w:p>
      <w:pPr>
        <w:pStyle w:val="4"/>
      </w:pPr>
      <w:r>
        <w:t>6、各类奖金、绩效、补贴多，凭个人能力多劳多得；</w:t>
      </w:r>
    </w:p>
    <w:p>
      <w:pPr>
        <w:pStyle w:val="4"/>
      </w:pPr>
      <w:r>
        <w:t>7、甲级写字楼办公环境；</w:t>
      </w:r>
    </w:p>
    <w:p>
      <w:pPr>
        <w:pStyle w:val="4"/>
      </w:pPr>
      <w:r>
        <w:t>8、劳动保障：入职签订劳动合同，转正后按国家规定购买</w:t>
      </w:r>
      <w:r>
        <w:rPr>
          <w:rFonts w:hint="eastAsia"/>
          <w:lang w:val="en-US" w:eastAsia="zh-CN"/>
        </w:rPr>
        <w:t>昆山</w:t>
      </w:r>
      <w:r>
        <w:t>社保；</w:t>
      </w:r>
    </w:p>
    <w:p>
      <w:pPr>
        <w:pStyle w:val="4"/>
        <w:spacing w:before="236"/>
      </w:pPr>
      <w:r>
        <w:t>9、休假福利：享受法定节假日、年休假、婚假、产假/陪产假、丧假、工伤假等各类假期；</w:t>
      </w:r>
    </w:p>
    <w:p>
      <w:pPr>
        <w:pStyle w:val="4"/>
      </w:pPr>
      <w:r>
        <w:t>10、培训机会：完善的培训体系，为员工提供岗前培训、技能培训、职业发展培训等各类培训；</w:t>
      </w:r>
    </w:p>
    <w:p>
      <w:pPr>
        <w:pStyle w:val="4"/>
      </w:pPr>
      <w:r>
        <w:t>11、享受公司组织的各项团队活动，户外拓展，生日会、忠诚奖、年会活动等；</w:t>
      </w:r>
    </w:p>
    <w:p>
      <w:pPr>
        <w:pStyle w:val="4"/>
      </w:pPr>
      <w:r>
        <w:t>12、年终根据公司运营情况，依据年在岗天数享受年终奖励。</w:t>
      </w:r>
    </w:p>
    <w:p>
      <w:pPr>
        <w:pStyle w:val="4"/>
      </w:pPr>
      <w:r>
        <w:t>13、入职即可享受企业内部融资福利，低风险高收益，最高 18%年化收益；</w:t>
      </w:r>
    </w:p>
    <w:p>
      <w:pPr>
        <w:pStyle w:val="2"/>
        <w:ind w:firstLine="210" w:firstLineChars="100"/>
      </w:pPr>
      <w:r>
        <w:t>【岗位晋升】</w:t>
      </w:r>
    </w:p>
    <w:p>
      <w:pPr>
        <w:pStyle w:val="4"/>
        <w:sectPr>
          <w:pgSz w:w="11910" w:h="16840"/>
          <w:pgMar w:top="1240" w:right="1220" w:bottom="280" w:left="1400" w:header="720" w:footer="720" w:gutter="0"/>
          <w:cols w:space="720" w:num="1"/>
        </w:sectPr>
      </w:pPr>
      <w:r>
        <w:t>A、运营</w:t>
      </w:r>
      <w:r>
        <w:rPr>
          <w:rFonts w:hint="eastAsia"/>
          <w:lang w:val="en-US" w:eastAsia="zh-CN"/>
        </w:rPr>
        <w:t>方向</w:t>
      </w:r>
      <w:r>
        <w:t>：</w:t>
      </w:r>
      <w:r>
        <w:rPr>
          <w:rFonts w:hint="eastAsia"/>
          <w:lang w:val="en-US" w:eastAsia="zh-CN"/>
        </w:rPr>
        <w:t>一线</w:t>
      </w:r>
      <w:r>
        <w:t>专员--项目主管—现场经理—项目经理。</w:t>
      </w:r>
    </w:p>
    <w:p>
      <w:pPr>
        <w:pStyle w:val="4"/>
        <w:spacing w:before="18"/>
        <w:ind w:left="0" w:leftChars="0" w:firstLine="0" w:firstLineChars="0"/>
      </w:pPr>
    </w:p>
    <w:p>
      <w:pPr>
        <w:pStyle w:val="4"/>
        <w:numPr>
          <w:ilvl w:val="0"/>
          <w:numId w:val="3"/>
        </w:numPr>
        <w:spacing w:before="18"/>
        <w:ind w:left="0" w:leftChars="0" w:firstLine="0" w:firstLineChars="0"/>
      </w:pPr>
      <w:r>
        <w:t>专家线条：</w:t>
      </w:r>
      <w:r>
        <w:rPr>
          <w:rFonts w:hint="eastAsia"/>
          <w:lang w:val="en-US" w:eastAsia="zh-CN"/>
        </w:rPr>
        <w:t>一线</w:t>
      </w:r>
      <w:r>
        <w:t>专员—后勤管理岗位（质检/培训/数据督导/客诉等）</w:t>
      </w:r>
    </w:p>
    <w:p>
      <w:pPr>
        <w:pStyle w:val="4"/>
        <w:numPr>
          <w:ilvl w:val="0"/>
          <w:numId w:val="0"/>
        </w:numPr>
        <w:spacing w:before="18"/>
        <w:ind w:leftChars="0" w:right="0" w:rightChars="0"/>
      </w:pPr>
    </w:p>
    <w:p>
      <w:pPr>
        <w:spacing w:line="360" w:lineRule="auto"/>
        <w:rPr>
          <w:rFonts w:hint="eastAsia" w:ascii="宋体" w:hAnsi="宋体"/>
          <w:b/>
          <w:color w:val="FF0000"/>
          <w:spacing w:val="1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="宋体" w:hAnsi="宋体"/>
          <w:b/>
          <w:color w:val="FF0000"/>
          <w:spacing w:val="12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我们的优势</w:t>
      </w:r>
    </w:p>
    <w:p>
      <w:pPr>
        <w:numPr>
          <w:ilvl w:val="0"/>
          <w:numId w:val="4"/>
        </w:numPr>
        <w:snapToGrid w:val="0"/>
        <w:spacing w:line="360" w:lineRule="auto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项目优势:</w:t>
      </w:r>
    </w:p>
    <w:p>
      <w:pPr>
        <w:pStyle w:val="12"/>
        <w:numPr>
          <w:ilvl w:val="1"/>
          <w:numId w:val="4"/>
        </w:numPr>
        <w:tabs>
          <w:tab w:val="left" w:pos="0"/>
          <w:tab w:val="clear" w:pos="420"/>
        </w:tabs>
        <w:snapToGrid w:val="0"/>
        <w:spacing w:after="501"/>
        <w:ind w:left="0" w:firstLine="0"/>
        <w:rPr>
          <w:rFonts w:hint="eastAsia" w:ascii="微软雅黑" w:hAnsi="微软雅黑" w:eastAsia="微软雅黑" w:cs="微软雅黑"/>
          <w:color w:val="auto"/>
          <w:sz w:val="21"/>
          <w:szCs w:val="21"/>
          <w:lang w:val="zh-CN" w:eastAsia="zh-CN" w:bidi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zh-CN" w:eastAsia="zh-CN" w:bidi="zh-CN"/>
        </w:rPr>
        <w:t>完善的晋升机制，严谨的晋升流程，项目除合作伙伴派驻的管理人员外，该项目目前的所有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 w:bidi="zh-CN"/>
        </w:rPr>
        <w:t>10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zh-CN" w:eastAsia="zh-CN" w:bidi="zh-CN"/>
        </w:rPr>
        <w:t>名主管均由普通员工晋升。</w:t>
      </w:r>
    </w:p>
    <w:p>
      <w:pPr>
        <w:pStyle w:val="12"/>
        <w:numPr>
          <w:ilvl w:val="1"/>
          <w:numId w:val="4"/>
        </w:numPr>
        <w:tabs>
          <w:tab w:val="left" w:pos="0"/>
          <w:tab w:val="clear" w:pos="420"/>
        </w:tabs>
        <w:snapToGrid w:val="0"/>
        <w:spacing w:after="501"/>
        <w:ind w:left="0" w:firstLine="0"/>
        <w:rPr>
          <w:rFonts w:hint="eastAsia" w:ascii="微软雅黑" w:hAnsi="微软雅黑" w:eastAsia="微软雅黑" w:cs="微软雅黑"/>
          <w:color w:val="auto"/>
          <w:sz w:val="21"/>
          <w:szCs w:val="21"/>
          <w:lang w:val="zh-CN" w:eastAsia="zh-CN" w:bidi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zh-CN" w:eastAsia="zh-CN" w:bidi="zh-CN"/>
        </w:rPr>
        <w:t>丰富的团队活动：篮球赛、羽毛球赛,趣味运动会、卡拉ok比赛、拔河比赛、古镇游、上海欢乐谷、圣诞Party、社会公益活动、公司年会等等。</w:t>
      </w:r>
    </w:p>
    <w:p>
      <w:pPr>
        <w:numPr>
          <w:ilvl w:val="0"/>
          <w:numId w:val="4"/>
        </w:numPr>
        <w:snapToGrid w:val="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区域优势:</w:t>
      </w:r>
    </w:p>
    <w:p>
      <w:pPr>
        <w:pStyle w:val="12"/>
        <w:numPr>
          <w:ilvl w:val="1"/>
          <w:numId w:val="4"/>
        </w:numPr>
        <w:tabs>
          <w:tab w:val="left" w:pos="0"/>
          <w:tab w:val="clear" w:pos="420"/>
        </w:tabs>
        <w:snapToGrid w:val="0"/>
        <w:spacing w:after="501"/>
        <w:ind w:left="0" w:firstLine="0"/>
        <w:rPr>
          <w:rFonts w:hint="eastAsia" w:ascii="微软雅黑" w:hAnsi="微软雅黑" w:eastAsia="微软雅黑" w:cs="微软雅黑"/>
          <w:color w:val="auto"/>
          <w:sz w:val="21"/>
          <w:szCs w:val="21"/>
          <w:lang w:val="zh-CN" w:eastAsia="zh-CN" w:bidi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zh-CN" w:eastAsia="zh-CN" w:bidi="zh-CN"/>
        </w:rPr>
        <w:t>花桥国际商务城属昆山东部新城，区域建设、招商引资、人才引进等方面皆属政府重点投入的项目，发展潜力巨大；</w:t>
      </w:r>
    </w:p>
    <w:p>
      <w:pPr>
        <w:pStyle w:val="12"/>
        <w:numPr>
          <w:ilvl w:val="1"/>
          <w:numId w:val="4"/>
        </w:numPr>
        <w:tabs>
          <w:tab w:val="left" w:pos="0"/>
          <w:tab w:val="clear" w:pos="420"/>
        </w:tabs>
        <w:snapToGrid w:val="0"/>
        <w:spacing w:after="501"/>
        <w:ind w:left="0" w:firstLine="0"/>
        <w:rPr>
          <w:rFonts w:hint="eastAsia" w:ascii="微软雅黑" w:hAnsi="微软雅黑" w:eastAsia="微软雅黑" w:cs="微软雅黑"/>
          <w:color w:val="auto"/>
          <w:sz w:val="21"/>
          <w:szCs w:val="21"/>
          <w:lang w:val="zh-CN" w:eastAsia="zh-CN" w:bidi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zh-CN" w:eastAsia="zh-CN" w:bidi="zh-CN"/>
        </w:rPr>
        <w:t>花桥国际商务城的建设以金融服务外包、制造业区域总部基地、物流园三部分为主，工作、生活环境良好，低碳、低污染。</w:t>
      </w:r>
    </w:p>
    <w:p>
      <w:pPr>
        <w:numPr>
          <w:ilvl w:val="0"/>
          <w:numId w:val="4"/>
        </w:num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地理位置及交通优势:</w:t>
      </w:r>
    </w:p>
    <w:p>
      <w:pPr>
        <w:numPr>
          <w:ilvl w:val="1"/>
          <w:numId w:val="4"/>
        </w:numPr>
        <w:snapToGrid w:val="0"/>
        <w:spacing w:line="360" w:lineRule="auto"/>
        <w:rPr>
          <w:rFonts w:hint="eastAsia" w:ascii="宋体" w:hAnsi="宋体"/>
          <w:b/>
          <w:sz w:val="24"/>
        </w:rPr>
      </w:pPr>
      <w:r>
        <w:rPr>
          <w:sz w:val="24"/>
        </w:rPr>
        <w:drawing>
          <wp:anchor distT="0" distB="0" distL="114300" distR="114300" simplePos="0" relativeHeight="251663360" behindDoc="1" locked="1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396240</wp:posOffset>
            </wp:positionV>
            <wp:extent cx="2590800" cy="1895475"/>
            <wp:effectExtent l="0" t="0" r="0" b="9525"/>
            <wp:wrapTight wrapText="bothSides">
              <wp:wrapPolygon>
                <wp:start x="0" y="0"/>
                <wp:lineTo x="0" y="21361"/>
                <wp:lineTo x="21473" y="21361"/>
                <wp:lineTo x="21473" y="0"/>
                <wp:lineTo x="0" y="0"/>
              </wp:wrapPolygon>
            </wp:wrapTight>
            <wp:docPr id="9" name="图片 2" descr="u=896621581,185104755&amp;fm=21&amp;gp=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u=896621581,185104755&amp;fm=21&amp;gp=0u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黑体"/>
          <w:color w:val="000000"/>
          <w:kern w:val="0"/>
          <w:sz w:val="24"/>
        </w:rPr>
        <w:t>花桥为江苏东大门，紧邻上海，地理位置较为优越，工作、生活、娱乐均可贴近国际大都市上海；</w:t>
      </w:r>
    </w:p>
    <w:p>
      <w:pPr>
        <w:numPr>
          <w:ilvl w:val="1"/>
          <w:numId w:val="4"/>
        </w:numPr>
        <w:snapToGrid w:val="0"/>
        <w:spacing w:line="360" w:lineRule="auto"/>
        <w:rPr>
          <w:rFonts w:hint="eastAsia" w:ascii="宋体" w:hAnsi="宋体"/>
          <w:b/>
          <w:sz w:val="24"/>
        </w:rPr>
      </w:pPr>
      <w:r>
        <w:rPr>
          <w:rFonts w:hint="eastAsia" w:ascii="宋体" w:hAnsi="宋体" w:cs="黑体"/>
          <w:color w:val="000000"/>
          <w:kern w:val="0"/>
          <w:sz w:val="24"/>
        </w:rPr>
        <w:t>上海地铁</w:t>
      </w:r>
      <w:r>
        <w:rPr>
          <w:rFonts w:ascii="宋体" w:hAnsi="宋体" w:cs="Arial"/>
          <w:color w:val="000000"/>
          <w:kern w:val="0"/>
          <w:sz w:val="24"/>
        </w:rPr>
        <w:t>11</w:t>
      </w:r>
      <w:r>
        <w:rPr>
          <w:rFonts w:hint="eastAsia" w:ascii="宋体" w:hAnsi="宋体" w:cs="黑体"/>
          <w:color w:val="000000"/>
          <w:kern w:val="0"/>
          <w:sz w:val="24"/>
        </w:rPr>
        <w:t>号线直达花桥，距市中心徐家汇商圈车程约50分钟。</w:t>
      </w:r>
    </w:p>
    <w:p>
      <w:pPr>
        <w:numPr>
          <w:ilvl w:val="1"/>
          <w:numId w:val="4"/>
        </w:numPr>
        <w:snapToGrid w:val="0"/>
        <w:spacing w:line="360" w:lineRule="auto"/>
        <w:rPr>
          <w:rFonts w:hint="eastAsia" w:ascii="宋体" w:hAnsi="宋体"/>
          <w:b/>
          <w:sz w:val="24"/>
        </w:rPr>
      </w:pPr>
      <w:r>
        <w:rPr>
          <w:rFonts w:hint="eastAsia" w:ascii="宋体" w:hAnsi="宋体" w:cs="黑体"/>
          <w:color w:val="000000"/>
          <w:kern w:val="0"/>
          <w:sz w:val="24"/>
        </w:rPr>
        <w:t>花桥有分别直达昆山火车站、高铁站及新客站的公交线路；</w:t>
      </w:r>
    </w:p>
    <w:p>
      <w:pPr>
        <w:numPr>
          <w:ilvl w:val="1"/>
          <w:numId w:val="4"/>
        </w:numPr>
        <w:snapToGrid w:val="0"/>
        <w:spacing w:line="360" w:lineRule="auto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黑体"/>
          <w:color w:val="000000"/>
          <w:kern w:val="0"/>
          <w:sz w:val="24"/>
        </w:rPr>
        <w:t>附近古镇如西塘、乌镇、周庄等，风光秀丽、气候宜人，</w:t>
      </w:r>
      <w:r>
        <w:rPr>
          <w:rFonts w:ascii="宋体" w:hAnsi="宋体" w:cs="Arial"/>
          <w:color w:val="000000"/>
          <w:kern w:val="0"/>
          <w:sz w:val="24"/>
        </w:rPr>
        <w:t>2</w:t>
      </w:r>
      <w:r>
        <w:rPr>
          <w:rFonts w:hint="eastAsia" w:ascii="宋体" w:hAnsi="宋体" w:cs="黑体"/>
          <w:color w:val="000000"/>
          <w:kern w:val="0"/>
          <w:sz w:val="24"/>
        </w:rPr>
        <w:t>小时车程即到。</w:t>
      </w:r>
    </w:p>
    <w:p>
      <w:pPr>
        <w:widowControl/>
        <w:jc w:val="left"/>
        <w:rPr>
          <w:rFonts w:hint="eastAsia" w:ascii="宋体" w:hAnsi="宋体" w:cs="宋体"/>
          <w:kern w:val="0"/>
          <w:sz w:val="24"/>
        </w:rPr>
      </w:pPr>
    </w:p>
    <w:p>
      <w:pPr>
        <w:pStyle w:val="4"/>
        <w:ind w:left="0" w:leftChars="0" w:firstLine="0" w:firstLineChars="0"/>
        <w:rPr>
          <w:rFonts w:hint="eastAsia"/>
        </w:rPr>
      </w:pPr>
      <w:r>
        <w:rPr>
          <w:b/>
        </w:rPr>
        <w:t>工作地点</w:t>
      </w:r>
      <w:r>
        <w:t>：</w:t>
      </w:r>
      <w:r>
        <w:rPr>
          <w:rFonts w:hint="eastAsia"/>
        </w:rPr>
        <w:t>所在地区: 江苏省苏州市昆山市花桥镇</w:t>
      </w:r>
    </w:p>
    <w:p>
      <w:pPr>
        <w:pStyle w:val="4"/>
        <w:ind w:left="0" w:leftChars="0" w:firstLine="0" w:firstLineChars="0"/>
        <w:rPr>
          <w:b/>
        </w:rPr>
      </w:pPr>
      <w:r>
        <w:rPr>
          <w:rFonts w:hint="eastAsia"/>
        </w:rPr>
        <w:t>详细地址: 江苏省 昆山市 花桥镇 金融大道518号江苏远洋数据有限公司</w:t>
      </w:r>
      <w:r>
        <w:t>。</w:t>
      </w:r>
    </w:p>
    <w:p>
      <w:pPr>
        <w:pStyle w:val="4"/>
        <w:ind w:left="0" w:leftChars="0" w:firstLine="0" w:firstLineChars="0"/>
        <w:rPr>
          <w:rFonts w:hint="default" w:eastAsia="微软雅黑"/>
          <w:lang w:val="en-US" w:eastAsia="zh-CN"/>
        </w:rPr>
      </w:pPr>
      <w:r>
        <w:rPr>
          <w:b/>
        </w:rPr>
        <w:t>面试地点</w:t>
      </w:r>
      <w:r>
        <w:t>：</w:t>
      </w:r>
      <w:r>
        <w:rPr>
          <w:rFonts w:hint="eastAsia"/>
        </w:rPr>
        <w:t>金融大道518号江苏远洋数据</w:t>
      </w:r>
      <w:r>
        <w:rPr>
          <w:rFonts w:hint="eastAsia"/>
          <w:lang w:val="en-US" w:eastAsia="zh-CN"/>
        </w:rPr>
        <w:t>产业园2号楼3楼</w:t>
      </w:r>
    </w:p>
    <w:p>
      <w:pPr>
        <w:pStyle w:val="4"/>
        <w:spacing w:line="386" w:lineRule="auto"/>
        <w:ind w:left="0" w:leftChars="0" w:right="299" w:firstLine="0" w:firstLineChars="0"/>
        <w:rPr>
          <w:rFonts w:hint="eastAsia"/>
          <w:sz w:val="24"/>
          <w:lang w:val="en-US" w:eastAsia="zh-CN"/>
        </w:rPr>
      </w:pPr>
      <w:r>
        <w:t>参训必须准备的材料</w:t>
      </w:r>
      <w:r>
        <w:rPr>
          <w:rFonts w:hint="eastAsia"/>
          <w:lang w:val="en-US" w:eastAsia="zh-CN"/>
        </w:rPr>
        <w:t>三方协议</w:t>
      </w:r>
      <w:r>
        <w:t>、体检报告（合格结果）和征信报告原件等</w:t>
      </w:r>
      <w:r>
        <w:rPr>
          <w:rFonts w:hint="eastAsia"/>
          <w:lang w:eastAsia="zh-CN"/>
        </w:rPr>
        <w:t>。</w:t>
      </w:r>
      <w:r>
        <w:rPr>
          <w:rFonts w:hint="eastAsia"/>
          <w:sz w:val="24"/>
          <w:lang w:val="en-US" w:eastAsia="zh-CN"/>
        </w:rPr>
        <w:t xml:space="preserve"> </w:t>
      </w:r>
    </w:p>
    <w:p>
      <w:pPr>
        <w:pStyle w:val="4"/>
        <w:spacing w:line="386" w:lineRule="auto"/>
        <w:ind w:left="0" w:leftChars="0" w:right="299" w:firstLine="0" w:firstLineChars="0"/>
        <w:rPr>
          <w:rFonts w:hint="eastAsia"/>
          <w:sz w:val="24"/>
          <w:lang w:val="en-US" w:eastAsia="zh-CN"/>
        </w:rPr>
      </w:pPr>
    </w:p>
    <w:p>
      <w:pPr>
        <w:pStyle w:val="4"/>
        <w:spacing w:line="386" w:lineRule="auto"/>
        <w:ind w:left="0" w:leftChars="0" w:right="299" w:firstLine="0" w:firstLineChars="0"/>
        <w:rPr>
          <w:rFonts w:hint="default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</w:rPr>
        <w:drawing>
          <wp:anchor distT="0" distB="0" distL="114300" distR="114300" simplePos="0" relativeHeight="251664384" behindDoc="1" locked="1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2727325</wp:posOffset>
            </wp:positionV>
            <wp:extent cx="2721610" cy="2154555"/>
            <wp:effectExtent l="0" t="0" r="6350" b="9525"/>
            <wp:wrapTight wrapText="bothSides">
              <wp:wrapPolygon>
                <wp:start x="0" y="0"/>
                <wp:lineTo x="0" y="21390"/>
                <wp:lineTo x="21529" y="21390"/>
                <wp:lineTo x="21529" y="0"/>
                <wp:lineTo x="0" y="0"/>
              </wp:wrapPolygon>
            </wp:wrapTight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24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2748280</wp:posOffset>
            </wp:positionV>
            <wp:extent cx="2849880" cy="2123440"/>
            <wp:effectExtent l="0" t="0" r="0" b="10160"/>
            <wp:wrapTight wrapText="bothSides">
              <wp:wrapPolygon>
                <wp:start x="0" y="0"/>
                <wp:lineTo x="0" y="21393"/>
                <wp:lineTo x="21484" y="21393"/>
                <wp:lineTo x="21484" y="0"/>
                <wp:lineTo x="0" y="0"/>
              </wp:wrapPolygon>
            </wp:wrapTight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591820</wp:posOffset>
            </wp:positionV>
            <wp:extent cx="2846070" cy="1968500"/>
            <wp:effectExtent l="0" t="0" r="3810" b="12700"/>
            <wp:wrapTight wrapText="bothSides">
              <wp:wrapPolygon>
                <wp:start x="0" y="0"/>
                <wp:lineTo x="0" y="21405"/>
                <wp:lineTo x="21513" y="21405"/>
                <wp:lineTo x="21513" y="0"/>
                <wp:lineTo x="0" y="0"/>
              </wp:wrapPolygon>
            </wp:wrapTight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586105</wp:posOffset>
            </wp:positionV>
            <wp:extent cx="2708910" cy="1966595"/>
            <wp:effectExtent l="0" t="0" r="3810" b="14605"/>
            <wp:wrapTight wrapText="bothSides">
              <wp:wrapPolygon>
                <wp:start x="0" y="0"/>
                <wp:lineTo x="0" y="21426"/>
                <wp:lineTo x="21509" y="21426"/>
                <wp:lineTo x="21509" y="0"/>
                <wp:lineTo x="0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10" w:h="16840"/>
      <w:pgMar w:top="1240" w:right="1220" w:bottom="280" w:left="14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220" w:leftChars="100"/>
      <w:jc w:val="right"/>
      <w:rPr>
        <w:rStyle w:val="13"/>
        <w:rFonts w:hint="eastAsia" w:ascii="微软雅黑" w:hAnsi="微软雅黑" w:eastAsia="微软雅黑" w:cs="微软雅黑"/>
        <w:b/>
        <w:bCs/>
        <w:sz w:val="13"/>
        <w:szCs w:val="13"/>
        <w:lang w:val="en-US" w:eastAsia="zh-CN"/>
      </w:rPr>
    </w:pPr>
    <w:r>
      <w:rPr>
        <w:rFonts w:hint="eastAsia" w:ascii="微软雅黑" w:hAnsi="微软雅黑" w:eastAsia="微软雅黑" w:cs="微软雅黑"/>
        <w:b/>
        <w:bCs/>
        <w:sz w:val="13"/>
        <w:szCs w:val="13"/>
        <w:lang w:eastAsia="zh-CN"/>
      </w:rPr>
      <w:drawing>
        <wp:anchor distT="0" distB="0" distL="114300" distR="114300" simplePos="0" relativeHeight="251661312" behindDoc="1" locked="1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354455" cy="285750"/>
          <wp:effectExtent l="0" t="0" r="1905" b="0"/>
          <wp:wrapTight wrapText="bothSides">
            <wp:wrapPolygon>
              <wp:start x="1458" y="0"/>
              <wp:lineTo x="0" y="3456"/>
              <wp:lineTo x="0" y="16128"/>
              <wp:lineTo x="1215" y="20736"/>
              <wp:lineTo x="5104" y="20736"/>
              <wp:lineTo x="21387" y="19584"/>
              <wp:lineTo x="21387" y="1152"/>
              <wp:lineTo x="5833" y="0"/>
              <wp:lineTo x="1458" y="0"/>
            </wp:wrapPolygon>
          </wp:wrapTight>
          <wp:docPr id="12" name="图片 12" descr="安徽一通天下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安徽一通天下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4455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3"/>
        <w:rFonts w:hint="eastAsia" w:ascii="微软雅黑" w:hAnsi="微软雅黑" w:eastAsia="微软雅黑" w:cs="微软雅黑"/>
        <w:b/>
        <w:bCs/>
        <w:sz w:val="13"/>
        <w:szCs w:val="13"/>
        <w:lang w:val="en-US" w:eastAsia="zh-CN"/>
      </w:rPr>
      <w:t>让每位客户尊享有温度的管家体验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BE74F60C"/>
    <w:multiLevelType w:val="singleLevel"/>
    <w:tmpl w:val="BE74F60C"/>
    <w:lvl w:ilvl="0" w:tentative="0">
      <w:start w:val="1"/>
      <w:numFmt w:val="decimal"/>
      <w:suff w:val="nothing"/>
      <w:lvlText w:val="%1、"/>
      <w:lvlJc w:val="left"/>
      <w:pPr>
        <w:ind w:left="101"/>
      </w:pPr>
    </w:lvl>
  </w:abstractNum>
  <w:abstractNum w:abstractNumId="1">
    <w:nsid w:val="CA987339"/>
    <w:multiLevelType w:val="singleLevel"/>
    <w:tmpl w:val="CA987339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431" w:hanging="312"/>
        <w:jc w:val="left"/>
      </w:pPr>
      <w:rPr>
        <w:rFonts w:hint="default" w:ascii="微软雅黑" w:hAnsi="微软雅黑" w:eastAsia="微软雅黑" w:cs="微软雅黑"/>
        <w:spacing w:val="-1"/>
        <w:w w:val="99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24" w:hanging="31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09" w:hanging="31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93" w:hanging="31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78" w:hanging="31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63" w:hanging="31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47" w:hanging="31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32" w:hanging="31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516" w:hanging="312"/>
      </w:pPr>
      <w:rPr>
        <w:rFonts w:hint="default"/>
        <w:lang w:val="zh-CN" w:eastAsia="zh-CN" w:bidi="zh-CN"/>
      </w:rPr>
    </w:lvl>
  </w:abstractNum>
  <w:abstractNum w:abstractNumId="3">
    <w:nsid w:val="56F4080B"/>
    <w:multiLevelType w:val="multilevel"/>
    <w:tmpl w:val="56F4080B"/>
    <w:lvl w:ilvl="0" w:tentative="0">
      <w:start w:val="1"/>
      <w:numFmt w:val="bullet"/>
      <w:lvlText w:val=""/>
      <w:lvlPicBulletId w:val="0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420"/>
        </w:tabs>
        <w:ind w:left="420" w:hanging="420"/>
      </w:pPr>
      <w:rPr>
        <w:rFonts w:hint="default"/>
        <w:b w:val="0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0ZmIxMjc1ZDQxYTJmYTliMTNmOWI0OTdjOTgxNjUifQ=="/>
    <w:docVar w:name="KSO_WPS_MARK_KEY" w:val="a6a2dee4-f8ae-4f25-8ac4-033938937f0f"/>
  </w:docVars>
  <w:rsids>
    <w:rsidRoot w:val="00000000"/>
    <w:rsid w:val="004D6899"/>
    <w:rsid w:val="014408EC"/>
    <w:rsid w:val="01D60B10"/>
    <w:rsid w:val="02581525"/>
    <w:rsid w:val="029878FC"/>
    <w:rsid w:val="03D43C93"/>
    <w:rsid w:val="04221DEB"/>
    <w:rsid w:val="053E0EA6"/>
    <w:rsid w:val="060E6ACB"/>
    <w:rsid w:val="08607386"/>
    <w:rsid w:val="0A8C7FBE"/>
    <w:rsid w:val="0BAE2505"/>
    <w:rsid w:val="0BE36304"/>
    <w:rsid w:val="0C41127C"/>
    <w:rsid w:val="0CB97065"/>
    <w:rsid w:val="0E19600D"/>
    <w:rsid w:val="0E6A5B2D"/>
    <w:rsid w:val="0F916077"/>
    <w:rsid w:val="10190790"/>
    <w:rsid w:val="11637FD3"/>
    <w:rsid w:val="12744159"/>
    <w:rsid w:val="1288104C"/>
    <w:rsid w:val="139647DD"/>
    <w:rsid w:val="13AE369B"/>
    <w:rsid w:val="14005579"/>
    <w:rsid w:val="145A112D"/>
    <w:rsid w:val="14A95C11"/>
    <w:rsid w:val="151754AB"/>
    <w:rsid w:val="16A175A1"/>
    <w:rsid w:val="1844012A"/>
    <w:rsid w:val="1C0F0A4F"/>
    <w:rsid w:val="1CFF4B85"/>
    <w:rsid w:val="1D2A4811"/>
    <w:rsid w:val="1E2307E2"/>
    <w:rsid w:val="1E2A7DC2"/>
    <w:rsid w:val="1EE61F3B"/>
    <w:rsid w:val="1F963122"/>
    <w:rsid w:val="1FAA740D"/>
    <w:rsid w:val="20633801"/>
    <w:rsid w:val="21863561"/>
    <w:rsid w:val="21D70261"/>
    <w:rsid w:val="237D1E1C"/>
    <w:rsid w:val="23DF1E01"/>
    <w:rsid w:val="24E16D01"/>
    <w:rsid w:val="263B7010"/>
    <w:rsid w:val="264B7391"/>
    <w:rsid w:val="27165388"/>
    <w:rsid w:val="274E3612"/>
    <w:rsid w:val="27554102"/>
    <w:rsid w:val="275571BE"/>
    <w:rsid w:val="28C03598"/>
    <w:rsid w:val="29F80AF8"/>
    <w:rsid w:val="2A497822"/>
    <w:rsid w:val="2AA02B44"/>
    <w:rsid w:val="2B5841C1"/>
    <w:rsid w:val="2BAB6FEF"/>
    <w:rsid w:val="2E0E500A"/>
    <w:rsid w:val="314D19A6"/>
    <w:rsid w:val="3431735D"/>
    <w:rsid w:val="34592D57"/>
    <w:rsid w:val="34871673"/>
    <w:rsid w:val="35E235EB"/>
    <w:rsid w:val="36B32815"/>
    <w:rsid w:val="37533A8E"/>
    <w:rsid w:val="38033706"/>
    <w:rsid w:val="3A297313"/>
    <w:rsid w:val="3ADD2331"/>
    <w:rsid w:val="3B7C7A57"/>
    <w:rsid w:val="3C634773"/>
    <w:rsid w:val="3CF5435D"/>
    <w:rsid w:val="3DDD67A7"/>
    <w:rsid w:val="3FBB48C6"/>
    <w:rsid w:val="40A86BF9"/>
    <w:rsid w:val="40BB2DD0"/>
    <w:rsid w:val="41120516"/>
    <w:rsid w:val="42002BDB"/>
    <w:rsid w:val="433429C6"/>
    <w:rsid w:val="43582AB4"/>
    <w:rsid w:val="43C33D49"/>
    <w:rsid w:val="43E51F12"/>
    <w:rsid w:val="443748E3"/>
    <w:rsid w:val="4517434D"/>
    <w:rsid w:val="454665BD"/>
    <w:rsid w:val="458F0387"/>
    <w:rsid w:val="46D22C21"/>
    <w:rsid w:val="486755EB"/>
    <w:rsid w:val="499E2991"/>
    <w:rsid w:val="4ABA5EA6"/>
    <w:rsid w:val="4B7310AF"/>
    <w:rsid w:val="4D486621"/>
    <w:rsid w:val="4D9D385D"/>
    <w:rsid w:val="4DCD3095"/>
    <w:rsid w:val="4F9F791D"/>
    <w:rsid w:val="504C2305"/>
    <w:rsid w:val="50AA4E6E"/>
    <w:rsid w:val="510B060B"/>
    <w:rsid w:val="52A23D96"/>
    <w:rsid w:val="535061FC"/>
    <w:rsid w:val="53A66DAC"/>
    <w:rsid w:val="54AB6860"/>
    <w:rsid w:val="55F14746"/>
    <w:rsid w:val="56802D43"/>
    <w:rsid w:val="56E96C80"/>
    <w:rsid w:val="573963A5"/>
    <w:rsid w:val="573E7E5F"/>
    <w:rsid w:val="59BE2F36"/>
    <w:rsid w:val="5A984568"/>
    <w:rsid w:val="5C086558"/>
    <w:rsid w:val="5CD86660"/>
    <w:rsid w:val="5D0E5BDE"/>
    <w:rsid w:val="5E1E4546"/>
    <w:rsid w:val="5E8A1B21"/>
    <w:rsid w:val="5F210917"/>
    <w:rsid w:val="61685B57"/>
    <w:rsid w:val="61AD3543"/>
    <w:rsid w:val="621B30CF"/>
    <w:rsid w:val="63AA2F5C"/>
    <w:rsid w:val="6406629C"/>
    <w:rsid w:val="64C51278"/>
    <w:rsid w:val="64EA7169"/>
    <w:rsid w:val="65020D08"/>
    <w:rsid w:val="66146533"/>
    <w:rsid w:val="66FB726B"/>
    <w:rsid w:val="680577D0"/>
    <w:rsid w:val="68164146"/>
    <w:rsid w:val="687D34DD"/>
    <w:rsid w:val="68A33FC6"/>
    <w:rsid w:val="68EF720B"/>
    <w:rsid w:val="69EA76F4"/>
    <w:rsid w:val="6A690DCD"/>
    <w:rsid w:val="6A745C1A"/>
    <w:rsid w:val="6B3A3AE0"/>
    <w:rsid w:val="6C103720"/>
    <w:rsid w:val="6CAD5413"/>
    <w:rsid w:val="6D1234C8"/>
    <w:rsid w:val="6DB77BCC"/>
    <w:rsid w:val="6E5F3385"/>
    <w:rsid w:val="6E7D0E15"/>
    <w:rsid w:val="6EA840E4"/>
    <w:rsid w:val="6FCE24D5"/>
    <w:rsid w:val="71A14E1B"/>
    <w:rsid w:val="71A861A9"/>
    <w:rsid w:val="72534367"/>
    <w:rsid w:val="73700F48"/>
    <w:rsid w:val="7416389E"/>
    <w:rsid w:val="74B86703"/>
    <w:rsid w:val="75B55338"/>
    <w:rsid w:val="762A53DF"/>
    <w:rsid w:val="76827C0C"/>
    <w:rsid w:val="76D812DE"/>
    <w:rsid w:val="771816DB"/>
    <w:rsid w:val="77687478"/>
    <w:rsid w:val="77935DDC"/>
    <w:rsid w:val="77D47CF8"/>
    <w:rsid w:val="77ED2B68"/>
    <w:rsid w:val="77F959B0"/>
    <w:rsid w:val="787E1A12"/>
    <w:rsid w:val="79E62005"/>
    <w:rsid w:val="7BC6204D"/>
    <w:rsid w:val="7C5C02BC"/>
    <w:rsid w:val="7C8F243F"/>
    <w:rsid w:val="7D3B25C7"/>
    <w:rsid w:val="7D7E0F4A"/>
    <w:rsid w:val="7DF95F54"/>
    <w:rsid w:val="7EEC1DCB"/>
    <w:rsid w:val="7FBD55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237"/>
      <w:ind w:left="119"/>
      <w:outlineLvl w:val="1"/>
    </w:pPr>
    <w:rPr>
      <w:rFonts w:ascii="微软雅黑" w:hAnsi="微软雅黑" w:eastAsia="微软雅黑" w:cs="微软雅黑"/>
      <w:b/>
      <w:bCs/>
      <w:sz w:val="21"/>
      <w:szCs w:val="21"/>
      <w:lang w:val="zh-CN" w:eastAsia="zh-CN" w:bidi="zh-CN"/>
    </w:rPr>
  </w:style>
  <w:style w:type="paragraph" w:styleId="3">
    <w:name w:val="heading 2"/>
    <w:basedOn w:val="1"/>
    <w:next w:val="1"/>
    <w:link w:val="13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spacing w:before="237"/>
      <w:ind w:left="119"/>
    </w:pPr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spacing w:before="237"/>
      <w:ind w:left="431" w:hanging="313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Wingdings" w:hAnsi="Wingdings" w:eastAsia="宋体" w:cs="Wingdings"/>
      <w:color w:val="000000"/>
      <w:sz w:val="24"/>
      <w:szCs w:val="24"/>
      <w:lang w:val="en-US" w:eastAsia="zh-CN" w:bidi="ar-SA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1867</Words>
  <Characters>1980</Characters>
  <TotalTime>6</TotalTime>
  <ScaleCrop>false</ScaleCrop>
  <LinksUpToDate>false</LinksUpToDate>
  <CharactersWithSpaces>2035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2022-09-05T07:47:00Z</dcterms:created>
  <dc:creator>豆豆</dc:creator>
  <cp:lastModifiedBy>名字</cp:lastModifiedBy>
  <dcterms:modified xsi:type="dcterms:W3CDTF">2023-06-15T08:07:12Z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2022-09-05T00:00:00Z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185A9608B57A4126A9BF3D28E69095BB</vt:lpwstr>
  </property>
</Properties>
</file>